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7B1BB2">
      <w:pPr>
        <w:pStyle w:val="43"/>
        <w:framePr w:w="0" w:hRule="auto" w:wrap="auto" w:vAnchor="margin" w:hAnchor="text" w:xAlign="left" w:yAlign="inline"/>
        <w:rPr>
          <w:rFonts w:hint="eastAsia" w:ascii="宋体" w:hAnsi="宋体" w:eastAsia="宋体" w:cs="宋体"/>
          <w:b/>
          <w:sz w:val="48"/>
          <w:szCs w:val="48"/>
        </w:rPr>
      </w:pPr>
      <w:bookmarkStart w:id="0" w:name="SectionMark0"/>
    </w:p>
    <w:p w14:paraId="4909AB03">
      <w:pPr>
        <w:pStyle w:val="43"/>
        <w:framePr w:w="0" w:hRule="auto" w:wrap="auto" w:vAnchor="margin" w:hAnchor="text" w:xAlign="left" w:yAlign="inline"/>
        <w:rPr>
          <w:rFonts w:hint="eastAsia" w:ascii="宋体" w:hAnsi="宋体" w:eastAsia="宋体" w:cs="宋体"/>
          <w:b/>
          <w:sz w:val="48"/>
          <w:szCs w:val="48"/>
        </w:rPr>
      </w:pPr>
    </w:p>
    <w:p w14:paraId="496A076D">
      <w:pPr>
        <w:pStyle w:val="43"/>
        <w:framePr w:w="0" w:hRule="auto" w:wrap="auto" w:vAnchor="margin" w:hAnchor="text" w:xAlign="left" w:yAlign="inline"/>
        <w:rPr>
          <w:rFonts w:hint="eastAsia" w:ascii="宋体" w:hAnsi="宋体" w:eastAsia="宋体" w:cs="宋体"/>
          <w:b/>
          <w:sz w:val="48"/>
          <w:szCs w:val="48"/>
        </w:rPr>
      </w:pPr>
    </w:p>
    <w:p w14:paraId="4E4039E1">
      <w:pPr>
        <w:pStyle w:val="43"/>
        <w:framePr w:w="0" w:hRule="auto" w:wrap="auto" w:vAnchor="margin" w:hAnchor="text" w:xAlign="left" w:yAlign="inline"/>
        <w:rPr>
          <w:rFonts w:hint="eastAsia" w:ascii="宋体" w:hAnsi="宋体" w:eastAsia="宋体" w:cs="宋体"/>
          <w:b/>
          <w:sz w:val="48"/>
          <w:szCs w:val="48"/>
        </w:rPr>
      </w:pPr>
    </w:p>
    <w:p w14:paraId="788D0DB0">
      <w:pPr>
        <w:pStyle w:val="43"/>
        <w:framePr w:w="0" w:hRule="auto" w:wrap="auto" w:vAnchor="margin" w:hAnchor="text" w:xAlign="left" w:yAlign="inline"/>
        <w:rPr>
          <w:rFonts w:hint="eastAsia" w:ascii="宋体" w:hAnsi="宋体" w:eastAsia="宋体" w:cs="宋体"/>
          <w:b/>
          <w:sz w:val="48"/>
          <w:szCs w:val="48"/>
        </w:rPr>
      </w:pPr>
    </w:p>
    <w:p w14:paraId="7CDBA7E0">
      <w:pPr>
        <w:pStyle w:val="43"/>
        <w:framePr w:w="0" w:hRule="auto" w:wrap="auto" w:vAnchor="margin" w:hAnchor="text" w:xAlign="left" w:yAlign="inline"/>
        <w:spacing w:line="360" w:lineRule="auto"/>
        <w:rPr>
          <w:rFonts w:hint="eastAsia" w:ascii="宋体" w:hAnsi="宋体" w:eastAsia="宋体" w:cs="宋体"/>
          <w:b/>
          <w:sz w:val="36"/>
          <w:szCs w:val="36"/>
          <w:lang w:eastAsia="zh-CN"/>
        </w:rPr>
      </w:pPr>
      <w:r>
        <w:rPr>
          <w:rFonts w:hint="eastAsia" w:ascii="宋体" w:hAnsi="宋体" w:eastAsia="宋体" w:cs="宋体"/>
          <w:b/>
          <w:sz w:val="36"/>
          <w:szCs w:val="36"/>
          <w:lang w:eastAsia="zh-CN"/>
        </w:rPr>
        <w:t>2026年南方电网数字电网集团有限公司深圳分公司软硬件产品（堡垒机、日志审计系统、入侵防御系统）投标寻源项目（标的</w:t>
      </w:r>
      <w:r>
        <w:rPr>
          <w:rFonts w:hint="eastAsia" w:ascii="宋体" w:hAnsi="宋体" w:eastAsia="宋体" w:cs="宋体"/>
          <w:b/>
          <w:sz w:val="36"/>
          <w:szCs w:val="36"/>
          <w:lang w:val="en-US" w:eastAsia="zh-CN"/>
        </w:rPr>
        <w:t>3</w:t>
      </w:r>
      <w:r>
        <w:rPr>
          <w:rFonts w:hint="eastAsia" w:ascii="宋体" w:hAnsi="宋体" w:eastAsia="宋体" w:cs="宋体"/>
          <w:b/>
          <w:sz w:val="36"/>
          <w:szCs w:val="36"/>
          <w:lang w:eastAsia="zh-CN"/>
        </w:rPr>
        <w:t>：</w:t>
      </w:r>
      <w:r>
        <w:rPr>
          <w:rFonts w:hint="eastAsia" w:ascii="宋体" w:hAnsi="宋体" w:eastAsia="宋体" w:cs="宋体"/>
          <w:b/>
          <w:sz w:val="36"/>
          <w:szCs w:val="36"/>
          <w:lang w:val="en-US" w:eastAsia="zh-CN"/>
        </w:rPr>
        <w:t>日志审计系统</w:t>
      </w:r>
      <w:r>
        <w:rPr>
          <w:rFonts w:hint="eastAsia" w:ascii="宋体" w:hAnsi="宋体" w:eastAsia="宋体" w:cs="宋体"/>
          <w:b/>
          <w:sz w:val="36"/>
          <w:szCs w:val="36"/>
          <w:lang w:eastAsia="zh-CN"/>
        </w:rPr>
        <w:t>）</w:t>
      </w:r>
    </w:p>
    <w:p w14:paraId="52670156">
      <w:pPr>
        <w:pStyle w:val="43"/>
        <w:framePr w:w="0" w:hRule="auto" w:wrap="auto" w:vAnchor="margin" w:hAnchor="text" w:xAlign="left" w:yAlign="inline"/>
        <w:spacing w:line="360" w:lineRule="auto"/>
        <w:rPr>
          <w:rFonts w:hint="eastAsia" w:ascii="宋体" w:hAnsi="宋体" w:eastAsia="宋体" w:cs="宋体"/>
          <w:b/>
          <w:spacing w:val="30"/>
          <w:sz w:val="36"/>
          <w:szCs w:val="36"/>
        </w:rPr>
      </w:pPr>
      <w:r>
        <w:rPr>
          <w:rFonts w:hint="eastAsia" w:ascii="宋体" w:hAnsi="宋体" w:eastAsia="宋体" w:cs="宋体"/>
          <w:b/>
          <w:spacing w:val="100"/>
          <w:sz w:val="36"/>
          <w:szCs w:val="36"/>
        </w:rPr>
        <w:t>技术</w:t>
      </w:r>
      <w:r>
        <w:rPr>
          <w:rFonts w:hint="eastAsia" w:ascii="宋体" w:hAnsi="宋体" w:eastAsia="宋体" w:cs="宋体"/>
          <w:b/>
          <w:spacing w:val="100"/>
          <w:sz w:val="36"/>
          <w:szCs w:val="36"/>
          <w:lang w:val="en-US" w:eastAsia="zh-CN"/>
        </w:rPr>
        <w:t>规范</w:t>
      </w:r>
      <w:r>
        <w:rPr>
          <w:rFonts w:hint="eastAsia" w:ascii="宋体" w:hAnsi="宋体" w:eastAsia="宋体" w:cs="宋体"/>
          <w:b/>
          <w:spacing w:val="100"/>
          <w:sz w:val="36"/>
          <w:szCs w:val="36"/>
        </w:rPr>
        <w:t>书</w:t>
      </w:r>
    </w:p>
    <w:p w14:paraId="13F06865">
      <w:pPr>
        <w:pStyle w:val="60"/>
        <w:rPr>
          <w:rFonts w:hint="eastAsia" w:hAnsi="宋体" w:cs="宋体"/>
        </w:rPr>
      </w:pPr>
    </w:p>
    <w:p w14:paraId="65D21416">
      <w:pPr>
        <w:pStyle w:val="60"/>
        <w:rPr>
          <w:rFonts w:hint="eastAsia" w:hAnsi="宋体" w:cs="宋体"/>
        </w:rPr>
      </w:pPr>
    </w:p>
    <w:p w14:paraId="597793F9">
      <w:pPr>
        <w:pStyle w:val="60"/>
        <w:rPr>
          <w:rFonts w:hint="eastAsia" w:hAnsi="宋体" w:cs="宋体"/>
        </w:rPr>
      </w:pPr>
    </w:p>
    <w:p w14:paraId="69EF9AF5">
      <w:pPr>
        <w:pStyle w:val="60"/>
        <w:rPr>
          <w:rFonts w:hint="eastAsia" w:hAnsi="宋体" w:cs="宋体"/>
        </w:rPr>
      </w:pPr>
    </w:p>
    <w:p w14:paraId="611A53FB">
      <w:pPr>
        <w:pStyle w:val="60"/>
        <w:rPr>
          <w:rFonts w:hint="eastAsia" w:hAnsi="宋体" w:cs="宋体"/>
        </w:rPr>
      </w:pPr>
    </w:p>
    <w:p w14:paraId="5A6163C1">
      <w:pPr>
        <w:pStyle w:val="60"/>
        <w:jc w:val="both"/>
        <w:rPr>
          <w:rFonts w:hint="eastAsia" w:hAnsi="宋体" w:cs="宋体"/>
        </w:rPr>
      </w:pPr>
    </w:p>
    <w:p w14:paraId="2CD354F8">
      <w:pPr>
        <w:pStyle w:val="60"/>
        <w:jc w:val="both"/>
        <w:rPr>
          <w:rFonts w:hint="eastAsia" w:hAnsi="宋体" w:cs="宋体"/>
        </w:rPr>
      </w:pPr>
    </w:p>
    <w:p w14:paraId="780A7E23">
      <w:pPr>
        <w:pStyle w:val="60"/>
        <w:rPr>
          <w:rFonts w:hint="eastAsia" w:hAnsi="宋体" w:cs="宋体"/>
          <w:b/>
          <w:spacing w:val="32"/>
          <w:position w:val="-6"/>
          <w:sz w:val="32"/>
          <w:szCs w:val="32"/>
        </w:rPr>
      </w:pPr>
      <w:r>
        <w:rPr>
          <w:rFonts w:hint="eastAsia" w:hAnsi="宋体" w:cs="宋体"/>
          <w:b/>
          <w:spacing w:val="32"/>
          <w:position w:val="-6"/>
          <w:sz w:val="32"/>
          <w:szCs w:val="32"/>
        </w:rPr>
        <w:t>202</w:t>
      </w:r>
      <w:r>
        <w:rPr>
          <w:rFonts w:hint="eastAsia" w:hAnsi="宋体" w:cs="宋体"/>
          <w:b/>
          <w:spacing w:val="32"/>
          <w:position w:val="-6"/>
          <w:sz w:val="32"/>
          <w:szCs w:val="32"/>
          <w:lang w:val="en-US" w:eastAsia="zh-CN"/>
        </w:rPr>
        <w:t>6</w:t>
      </w:r>
      <w:r>
        <w:rPr>
          <w:rFonts w:hint="eastAsia" w:hAnsi="宋体" w:cs="宋体"/>
          <w:b/>
          <w:spacing w:val="32"/>
          <w:position w:val="-6"/>
          <w:sz w:val="32"/>
          <w:szCs w:val="32"/>
        </w:rPr>
        <w:t>年</w:t>
      </w:r>
      <w:r>
        <w:rPr>
          <w:rFonts w:hint="eastAsia" w:hAnsi="宋体" w:cs="宋体"/>
          <w:b/>
          <w:spacing w:val="32"/>
          <w:position w:val="-6"/>
          <w:sz w:val="32"/>
          <w:szCs w:val="32"/>
          <w:lang w:val="en-US" w:eastAsia="zh-CN"/>
        </w:rPr>
        <w:t>7</w:t>
      </w:r>
      <w:r>
        <w:rPr>
          <w:rFonts w:hint="eastAsia" w:hAnsi="宋体" w:cs="宋体"/>
          <w:b/>
          <w:spacing w:val="32"/>
          <w:position w:val="-6"/>
          <w:sz w:val="32"/>
          <w:szCs w:val="32"/>
        </w:rPr>
        <w:t>月</w:t>
      </w:r>
    </w:p>
    <w:p w14:paraId="378F829F">
      <w:pPr>
        <w:pStyle w:val="60"/>
        <w:rPr>
          <w:rFonts w:hint="eastAsia" w:hAnsi="宋体" w:cs="宋体"/>
          <w:b/>
          <w:spacing w:val="32"/>
          <w:position w:val="-6"/>
          <w:sz w:val="32"/>
          <w:szCs w:val="32"/>
        </w:rPr>
        <w:sectPr>
          <w:footerReference r:id="rId3" w:type="default"/>
          <w:footerReference r:id="rId4" w:type="even"/>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174BFE43">
      <w:pPr>
        <w:pageBreakBefore/>
        <w:rPr>
          <w:rFonts w:hint="eastAsia" w:ascii="宋体" w:hAnsi="宋体" w:cs="宋体"/>
          <w:b/>
          <w:spacing w:val="24"/>
          <w:position w:val="-6"/>
          <w:sz w:val="36"/>
          <w:szCs w:val="36"/>
        </w:rPr>
      </w:pPr>
    </w:p>
    <w:bookmarkEnd w:id="0"/>
    <w:p w14:paraId="298E2EDC">
      <w:pPr>
        <w:adjustRightInd w:val="0"/>
        <w:spacing w:line="360" w:lineRule="auto"/>
        <w:jc w:val="center"/>
        <w:textAlignment w:val="baseline"/>
        <w:rPr>
          <w:rFonts w:hint="eastAsia" w:ascii="宋体" w:hAnsi="宋体" w:cs="宋体"/>
          <w:b/>
          <w:bCs/>
          <w:kern w:val="0"/>
          <w:sz w:val="32"/>
          <w:szCs w:val="32"/>
        </w:rPr>
      </w:pPr>
      <w:r>
        <w:rPr>
          <w:rFonts w:hint="eastAsia" w:ascii="宋体" w:hAnsi="宋体" w:cs="宋体"/>
          <w:b/>
          <w:bCs/>
          <w:kern w:val="0"/>
          <w:sz w:val="32"/>
          <w:szCs w:val="32"/>
        </w:rPr>
        <w:t>目录</w:t>
      </w:r>
    </w:p>
    <w:p w14:paraId="3FCD9D28">
      <w:pPr>
        <w:pStyle w:val="20"/>
        <w:tabs>
          <w:tab w:val="right" w:leader="dot" w:pos="8306"/>
        </w:tabs>
      </w:pPr>
      <w:r>
        <w:rPr>
          <w:rFonts w:hint="eastAsia" w:ascii="宋体" w:hAnsi="宋体" w:eastAsia="宋体" w:cs="宋体"/>
          <w:sz w:val="24"/>
          <w:szCs w:val="24"/>
        </w:rPr>
        <w:fldChar w:fldCharType="begin"/>
      </w:r>
      <w:r>
        <w:rPr>
          <w:rFonts w:hint="eastAsia" w:ascii="宋体" w:hAnsi="宋体" w:eastAsia="宋体" w:cs="宋体"/>
          <w:sz w:val="24"/>
          <w:szCs w:val="24"/>
        </w:rPr>
        <w:instrText xml:space="preserve">TOC \o "1-1" \h \u </w:instrText>
      </w:r>
      <w:r>
        <w:rPr>
          <w:rFonts w:hint="eastAsia" w:ascii="宋体" w:hAnsi="宋体" w:eastAsia="宋体" w:cs="宋体"/>
          <w:sz w:val="24"/>
          <w:szCs w:val="24"/>
        </w:rPr>
        <w:fldChar w:fldCharType="separate"/>
      </w:r>
      <w:r>
        <w:rPr>
          <w:rFonts w:hint="eastAsia" w:ascii="宋体" w:hAnsi="宋体" w:eastAsia="宋体" w:cs="宋体"/>
          <w:szCs w:val="24"/>
        </w:rPr>
        <w:fldChar w:fldCharType="begin"/>
      </w:r>
      <w:r>
        <w:rPr>
          <w:rFonts w:hint="eastAsia" w:ascii="宋体" w:hAnsi="宋体" w:eastAsia="宋体" w:cs="宋体"/>
          <w:szCs w:val="24"/>
        </w:rPr>
        <w:instrText xml:space="preserve"> HYPERLINK \l _Toc28877 </w:instrText>
      </w:r>
      <w:r>
        <w:rPr>
          <w:rFonts w:hint="eastAsia" w:ascii="宋体" w:hAnsi="宋体" w:eastAsia="宋体" w:cs="宋体"/>
          <w:szCs w:val="24"/>
        </w:rPr>
        <w:fldChar w:fldCharType="separate"/>
      </w:r>
      <w:r>
        <w:rPr>
          <w:rFonts w:hint="eastAsia" w:ascii="宋体" w:hAnsi="宋体" w:cs="宋体"/>
          <w:kern w:val="0"/>
          <w:szCs w:val="24"/>
        </w:rPr>
        <w:t>1 总则</w:t>
      </w:r>
      <w:r>
        <w:tab/>
      </w:r>
      <w:r>
        <w:fldChar w:fldCharType="begin"/>
      </w:r>
      <w:r>
        <w:instrText xml:space="preserve"> PAGEREF _Toc28877 \h </w:instrText>
      </w:r>
      <w:r>
        <w:fldChar w:fldCharType="separate"/>
      </w:r>
      <w:r>
        <w:t>3</w:t>
      </w:r>
      <w:r>
        <w:fldChar w:fldCharType="end"/>
      </w:r>
      <w:r>
        <w:rPr>
          <w:rFonts w:hint="eastAsia" w:ascii="宋体" w:hAnsi="宋体" w:eastAsia="宋体" w:cs="宋体"/>
          <w:szCs w:val="24"/>
        </w:rPr>
        <w:fldChar w:fldCharType="end"/>
      </w:r>
    </w:p>
    <w:p w14:paraId="6402A085">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_Toc11532 </w:instrText>
      </w:r>
      <w:r>
        <w:rPr>
          <w:rFonts w:hint="eastAsia" w:ascii="宋体" w:hAnsi="宋体" w:eastAsia="宋体" w:cs="宋体"/>
          <w:szCs w:val="24"/>
        </w:rPr>
        <w:fldChar w:fldCharType="separate"/>
      </w:r>
      <w:r>
        <w:rPr>
          <w:rFonts w:hint="eastAsia" w:ascii="宋体" w:hAnsi="宋体" w:cs="宋体"/>
          <w:kern w:val="0"/>
          <w:szCs w:val="24"/>
        </w:rPr>
        <w:t xml:space="preserve">2 </w:t>
      </w:r>
      <w:r>
        <w:rPr>
          <w:rFonts w:hint="eastAsia" w:ascii="宋体" w:hAnsi="宋体" w:cs="宋体"/>
          <w:kern w:val="0"/>
          <w:szCs w:val="24"/>
          <w:lang w:val="en-US" w:eastAsia="zh-CN"/>
        </w:rPr>
        <w:t>项目概况</w:t>
      </w:r>
      <w:r>
        <w:tab/>
      </w:r>
      <w:r>
        <w:fldChar w:fldCharType="begin"/>
      </w:r>
      <w:r>
        <w:instrText xml:space="preserve"> PAGEREF _Toc11532 \h </w:instrText>
      </w:r>
      <w:r>
        <w:fldChar w:fldCharType="separate"/>
      </w:r>
      <w:r>
        <w:t>4</w:t>
      </w:r>
      <w:r>
        <w:fldChar w:fldCharType="end"/>
      </w:r>
      <w:r>
        <w:rPr>
          <w:rFonts w:hint="eastAsia" w:ascii="宋体" w:hAnsi="宋体" w:eastAsia="宋体" w:cs="宋体"/>
          <w:szCs w:val="24"/>
        </w:rPr>
        <w:fldChar w:fldCharType="end"/>
      </w:r>
    </w:p>
    <w:p w14:paraId="373BC5A4">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_Toc19546 </w:instrText>
      </w:r>
      <w:r>
        <w:rPr>
          <w:rFonts w:hint="eastAsia" w:ascii="宋体" w:hAnsi="宋体" w:eastAsia="宋体" w:cs="宋体"/>
          <w:szCs w:val="24"/>
        </w:rPr>
        <w:fldChar w:fldCharType="separate"/>
      </w:r>
      <w:r>
        <w:rPr>
          <w:rFonts w:hint="eastAsia" w:ascii="宋体" w:hAnsi="宋体" w:eastAsia="宋体" w:cs="宋体"/>
          <w:bCs/>
          <w:kern w:val="0"/>
          <w:szCs w:val="24"/>
        </w:rPr>
        <w:t>3 工作范围</w:t>
      </w:r>
      <w:r>
        <w:tab/>
      </w:r>
      <w:r>
        <w:fldChar w:fldCharType="begin"/>
      </w:r>
      <w:r>
        <w:instrText xml:space="preserve"> PAGEREF _Toc19546 \h </w:instrText>
      </w:r>
      <w:r>
        <w:fldChar w:fldCharType="separate"/>
      </w:r>
      <w:r>
        <w:t>4</w:t>
      </w:r>
      <w:r>
        <w:fldChar w:fldCharType="end"/>
      </w:r>
      <w:r>
        <w:rPr>
          <w:rFonts w:hint="eastAsia" w:ascii="宋体" w:hAnsi="宋体" w:eastAsia="宋体" w:cs="宋体"/>
          <w:szCs w:val="24"/>
        </w:rPr>
        <w:fldChar w:fldCharType="end"/>
      </w:r>
    </w:p>
    <w:p w14:paraId="5822D4F9">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_Toc20800 </w:instrText>
      </w:r>
      <w:r>
        <w:rPr>
          <w:rFonts w:hint="eastAsia" w:ascii="宋体" w:hAnsi="宋体" w:eastAsia="宋体" w:cs="宋体"/>
          <w:szCs w:val="24"/>
        </w:rPr>
        <w:fldChar w:fldCharType="separate"/>
      </w:r>
      <w:r>
        <w:rPr>
          <w:rFonts w:hint="eastAsia" w:ascii="宋体" w:hAnsi="宋体" w:cs="宋体"/>
          <w:kern w:val="0"/>
          <w:szCs w:val="24"/>
        </w:rPr>
        <w:t>4 引用标准</w:t>
      </w:r>
      <w:r>
        <w:tab/>
      </w:r>
      <w:r>
        <w:fldChar w:fldCharType="begin"/>
      </w:r>
      <w:r>
        <w:instrText xml:space="preserve"> PAGEREF _Toc20800 \h </w:instrText>
      </w:r>
      <w:r>
        <w:fldChar w:fldCharType="separate"/>
      </w:r>
      <w:r>
        <w:t>4</w:t>
      </w:r>
      <w:r>
        <w:fldChar w:fldCharType="end"/>
      </w:r>
      <w:r>
        <w:rPr>
          <w:rFonts w:hint="eastAsia" w:ascii="宋体" w:hAnsi="宋体" w:eastAsia="宋体" w:cs="宋体"/>
          <w:szCs w:val="24"/>
        </w:rPr>
        <w:fldChar w:fldCharType="end"/>
      </w:r>
    </w:p>
    <w:p w14:paraId="4919C748">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_Toc15695 </w:instrText>
      </w:r>
      <w:r>
        <w:rPr>
          <w:rFonts w:hint="eastAsia" w:ascii="宋体" w:hAnsi="宋体" w:eastAsia="宋体" w:cs="宋体"/>
          <w:szCs w:val="24"/>
        </w:rPr>
        <w:fldChar w:fldCharType="separate"/>
      </w:r>
      <w:r>
        <w:rPr>
          <w:rFonts w:hint="eastAsia" w:ascii="宋体" w:hAnsi="宋体" w:cs="宋体"/>
          <w:kern w:val="0"/>
          <w:szCs w:val="24"/>
        </w:rPr>
        <w:t>5 使用环境要求</w:t>
      </w:r>
      <w:r>
        <w:tab/>
      </w:r>
      <w:r>
        <w:fldChar w:fldCharType="begin"/>
      </w:r>
      <w:r>
        <w:instrText xml:space="preserve"> PAGEREF _Toc15695 \h </w:instrText>
      </w:r>
      <w:r>
        <w:fldChar w:fldCharType="separate"/>
      </w:r>
      <w:r>
        <w:t>5</w:t>
      </w:r>
      <w:r>
        <w:fldChar w:fldCharType="end"/>
      </w:r>
      <w:r>
        <w:rPr>
          <w:rFonts w:hint="eastAsia" w:ascii="宋体" w:hAnsi="宋体" w:eastAsia="宋体" w:cs="宋体"/>
          <w:szCs w:val="24"/>
        </w:rPr>
        <w:fldChar w:fldCharType="end"/>
      </w:r>
    </w:p>
    <w:p w14:paraId="2AEF0389">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_Toc24394 </w:instrText>
      </w:r>
      <w:r>
        <w:rPr>
          <w:rFonts w:hint="eastAsia" w:ascii="宋体" w:hAnsi="宋体" w:eastAsia="宋体" w:cs="宋体"/>
          <w:szCs w:val="24"/>
        </w:rPr>
        <w:fldChar w:fldCharType="separate"/>
      </w:r>
      <w:r>
        <w:rPr>
          <w:rFonts w:hint="eastAsia" w:ascii="宋体" w:hAnsi="宋体" w:cs="宋体"/>
          <w:kern w:val="0"/>
          <w:szCs w:val="24"/>
        </w:rPr>
        <w:t>6 技术要求</w:t>
      </w:r>
      <w:r>
        <w:tab/>
      </w:r>
      <w:r>
        <w:fldChar w:fldCharType="begin"/>
      </w:r>
      <w:r>
        <w:instrText xml:space="preserve"> PAGEREF _Toc24394 \h </w:instrText>
      </w:r>
      <w:r>
        <w:fldChar w:fldCharType="separate"/>
      </w:r>
      <w:r>
        <w:t>5</w:t>
      </w:r>
      <w:r>
        <w:fldChar w:fldCharType="end"/>
      </w:r>
      <w:r>
        <w:rPr>
          <w:rFonts w:hint="eastAsia" w:ascii="宋体" w:hAnsi="宋体" w:eastAsia="宋体" w:cs="宋体"/>
          <w:szCs w:val="24"/>
        </w:rPr>
        <w:fldChar w:fldCharType="end"/>
      </w:r>
    </w:p>
    <w:p w14:paraId="6B7BA6C0">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_Toc914 </w:instrText>
      </w:r>
      <w:r>
        <w:rPr>
          <w:rFonts w:hint="eastAsia" w:ascii="宋体" w:hAnsi="宋体" w:eastAsia="宋体" w:cs="宋体"/>
          <w:szCs w:val="24"/>
        </w:rPr>
        <w:fldChar w:fldCharType="separate"/>
      </w:r>
      <w:r>
        <w:rPr>
          <w:rFonts w:hint="eastAsia" w:ascii="宋体" w:hAnsi="宋体" w:cs="宋体"/>
          <w:kern w:val="0"/>
          <w:szCs w:val="24"/>
        </w:rPr>
        <w:t>7 资料管理</w:t>
      </w:r>
      <w:r>
        <w:tab/>
      </w:r>
      <w:r>
        <w:fldChar w:fldCharType="begin"/>
      </w:r>
      <w:r>
        <w:instrText xml:space="preserve"> PAGEREF _Toc914 \h </w:instrText>
      </w:r>
      <w:r>
        <w:fldChar w:fldCharType="separate"/>
      </w:r>
      <w:r>
        <w:t>8</w:t>
      </w:r>
      <w:r>
        <w:fldChar w:fldCharType="end"/>
      </w:r>
      <w:r>
        <w:rPr>
          <w:rFonts w:hint="eastAsia" w:ascii="宋体" w:hAnsi="宋体" w:eastAsia="宋体" w:cs="宋体"/>
          <w:szCs w:val="24"/>
        </w:rPr>
        <w:fldChar w:fldCharType="end"/>
      </w:r>
    </w:p>
    <w:p w14:paraId="05FF0BB0">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_Toc510 </w:instrText>
      </w:r>
      <w:r>
        <w:rPr>
          <w:rFonts w:hint="eastAsia" w:ascii="宋体" w:hAnsi="宋体" w:eastAsia="宋体" w:cs="宋体"/>
          <w:szCs w:val="24"/>
        </w:rPr>
        <w:fldChar w:fldCharType="separate"/>
      </w:r>
      <w:r>
        <w:rPr>
          <w:rFonts w:hint="eastAsia" w:ascii="宋体" w:hAnsi="宋体"/>
          <w:kern w:val="0"/>
          <w:szCs w:val="24"/>
        </w:rPr>
        <w:t>8 售后服务及技术培训</w:t>
      </w:r>
      <w:r>
        <w:tab/>
      </w:r>
      <w:r>
        <w:fldChar w:fldCharType="begin"/>
      </w:r>
      <w:r>
        <w:instrText xml:space="preserve"> PAGEREF _Toc510 \h </w:instrText>
      </w:r>
      <w:r>
        <w:fldChar w:fldCharType="separate"/>
      </w:r>
      <w:r>
        <w:t>9</w:t>
      </w:r>
      <w:r>
        <w:fldChar w:fldCharType="end"/>
      </w:r>
      <w:r>
        <w:rPr>
          <w:rFonts w:hint="eastAsia" w:ascii="宋体" w:hAnsi="宋体" w:eastAsia="宋体" w:cs="宋体"/>
          <w:szCs w:val="24"/>
        </w:rPr>
        <w:fldChar w:fldCharType="end"/>
      </w:r>
    </w:p>
    <w:p w14:paraId="7B940EEC">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_Toc26401 </w:instrText>
      </w:r>
      <w:r>
        <w:rPr>
          <w:rFonts w:hint="eastAsia" w:ascii="宋体" w:hAnsi="宋体" w:eastAsia="宋体" w:cs="宋体"/>
          <w:szCs w:val="24"/>
        </w:rPr>
        <w:fldChar w:fldCharType="separate"/>
      </w:r>
      <w:r>
        <w:rPr>
          <w:rFonts w:hint="eastAsia" w:ascii="宋体" w:hAnsi="宋体" w:cs="宋体"/>
          <w:kern w:val="0"/>
          <w:szCs w:val="24"/>
        </w:rPr>
        <w:t>9 质量保证</w:t>
      </w:r>
      <w:r>
        <w:tab/>
      </w:r>
      <w:r>
        <w:fldChar w:fldCharType="begin"/>
      </w:r>
      <w:r>
        <w:instrText xml:space="preserve"> PAGEREF _Toc26401 \h </w:instrText>
      </w:r>
      <w:r>
        <w:fldChar w:fldCharType="separate"/>
      </w:r>
      <w:r>
        <w:t>10</w:t>
      </w:r>
      <w:r>
        <w:fldChar w:fldCharType="end"/>
      </w:r>
      <w:r>
        <w:rPr>
          <w:rFonts w:hint="eastAsia" w:ascii="宋体" w:hAnsi="宋体" w:eastAsia="宋体" w:cs="宋体"/>
          <w:szCs w:val="24"/>
        </w:rPr>
        <w:fldChar w:fldCharType="end"/>
      </w:r>
    </w:p>
    <w:p w14:paraId="0E26ECB6">
      <w:pPr>
        <w:pStyle w:val="20"/>
        <w:tabs>
          <w:tab w:val="right" w:leader="dot" w:pos="8306"/>
        </w:tabs>
      </w:pPr>
      <w:r>
        <w:rPr>
          <w:rFonts w:hint="eastAsia" w:ascii="宋体" w:hAnsi="宋体" w:eastAsia="宋体" w:cs="宋体"/>
          <w:szCs w:val="24"/>
        </w:rPr>
        <w:fldChar w:fldCharType="begin"/>
      </w:r>
      <w:r>
        <w:rPr>
          <w:rFonts w:hint="eastAsia" w:ascii="宋体" w:hAnsi="宋体" w:eastAsia="宋体" w:cs="宋体"/>
          <w:szCs w:val="24"/>
        </w:rPr>
        <w:instrText xml:space="preserve"> HYPERLINK \l _Toc28658 </w:instrText>
      </w:r>
      <w:r>
        <w:rPr>
          <w:rFonts w:hint="eastAsia" w:ascii="宋体" w:hAnsi="宋体" w:eastAsia="宋体" w:cs="宋体"/>
          <w:szCs w:val="24"/>
        </w:rPr>
        <w:fldChar w:fldCharType="separate"/>
      </w:r>
      <w:r>
        <w:rPr>
          <w:rFonts w:hint="eastAsia" w:ascii="宋体" w:hAnsi="宋体" w:cs="宋体"/>
          <w:kern w:val="0"/>
          <w:szCs w:val="24"/>
        </w:rPr>
        <w:t>10 包装、运输和贮存</w:t>
      </w:r>
      <w:r>
        <w:tab/>
      </w:r>
      <w:r>
        <w:fldChar w:fldCharType="begin"/>
      </w:r>
      <w:r>
        <w:instrText xml:space="preserve"> PAGEREF _Toc28658 \h </w:instrText>
      </w:r>
      <w:r>
        <w:fldChar w:fldCharType="separate"/>
      </w:r>
      <w:r>
        <w:t>10</w:t>
      </w:r>
      <w:r>
        <w:fldChar w:fldCharType="end"/>
      </w:r>
      <w:r>
        <w:rPr>
          <w:rFonts w:hint="eastAsia" w:ascii="宋体" w:hAnsi="宋体" w:eastAsia="宋体" w:cs="宋体"/>
          <w:szCs w:val="24"/>
        </w:rPr>
        <w:fldChar w:fldCharType="end"/>
      </w:r>
    </w:p>
    <w:p w14:paraId="6D8A9509">
      <w:pPr>
        <w:pStyle w:val="20"/>
        <w:keepNext w:val="0"/>
        <w:keepLines w:val="0"/>
        <w:pageBreakBefore w:val="0"/>
        <w:widowControl w:val="0"/>
        <w:tabs>
          <w:tab w:val="right" w:leader="dot" w:pos="8306"/>
        </w:tabs>
        <w:kinsoku/>
        <w:wordWrap/>
        <w:overflowPunct/>
        <w:topLinePunct w:val="0"/>
        <w:autoSpaceDE/>
        <w:autoSpaceDN/>
        <w:bidi w:val="0"/>
        <w:adjustRightInd/>
        <w:snapToGrid/>
        <w:spacing w:line="360" w:lineRule="auto"/>
        <w:textAlignment w:val="auto"/>
      </w:pPr>
      <w:r>
        <w:rPr>
          <w:rFonts w:hint="eastAsia" w:ascii="宋体" w:hAnsi="宋体" w:eastAsia="宋体" w:cs="宋体"/>
          <w:szCs w:val="24"/>
        </w:rPr>
        <w:fldChar w:fldCharType="end"/>
      </w:r>
      <w:r>
        <w:fldChar w:fldCharType="begin"/>
      </w:r>
      <w:r>
        <w:instrText xml:space="preserve"> HYPERLINK \l _Toc1204 </w:instrText>
      </w:r>
      <w:r>
        <w:fldChar w:fldCharType="separate"/>
      </w:r>
      <w:r>
        <w:fldChar w:fldCharType="end"/>
      </w:r>
    </w:p>
    <w:p w14:paraId="3BF86EF5">
      <w:pPr>
        <w:adjustRightInd w:val="0"/>
        <w:spacing w:line="360" w:lineRule="auto"/>
        <w:textAlignment w:val="baseline"/>
      </w:pPr>
    </w:p>
    <w:p w14:paraId="3A410C97">
      <w:pPr>
        <w:pStyle w:val="31"/>
      </w:pPr>
    </w:p>
    <w:p w14:paraId="2BC17546">
      <w:pPr>
        <w:pStyle w:val="31"/>
        <w:rPr>
          <w:rFonts w:hint="eastAsia"/>
        </w:rPr>
        <w:sectPr>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pPr>
    </w:p>
    <w:p w14:paraId="2F95EA88">
      <w:pPr>
        <w:pStyle w:val="4"/>
        <w:numPr>
          <w:ilvl w:val="0"/>
          <w:numId w:val="4"/>
        </w:numPr>
        <w:spacing w:before="0" w:after="0" w:line="360" w:lineRule="auto"/>
        <w:rPr>
          <w:rFonts w:hint="eastAsia" w:ascii="宋体" w:hAnsi="宋体" w:cs="宋体"/>
          <w:kern w:val="0"/>
          <w:sz w:val="24"/>
          <w:szCs w:val="24"/>
        </w:rPr>
      </w:pPr>
      <w:bookmarkStart w:id="1" w:name="_Toc27288_WPSOffice_Level1"/>
      <w:bookmarkStart w:id="2" w:name="_Toc32270_WPSOffice_Level1"/>
      <w:bookmarkStart w:id="3" w:name="_Toc28877"/>
      <w:bookmarkStart w:id="4" w:name="_Toc21939"/>
      <w:r>
        <w:rPr>
          <w:rFonts w:hint="eastAsia" w:ascii="宋体" w:hAnsi="宋体" w:cs="宋体"/>
          <w:kern w:val="0"/>
          <w:sz w:val="24"/>
          <w:szCs w:val="24"/>
        </w:rPr>
        <w:t>总则</w:t>
      </w:r>
      <w:bookmarkEnd w:id="1"/>
      <w:bookmarkEnd w:id="2"/>
      <w:bookmarkEnd w:id="3"/>
      <w:bookmarkEnd w:id="4"/>
    </w:p>
    <w:p w14:paraId="1B1DA87C">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为适应南方电网数字电网集团有限公司深圳分公司发展需要，规范采购招标技术要求，特制定本技术条件书。本技术条件书适用于</w:t>
      </w:r>
      <w:r>
        <w:rPr>
          <w:rFonts w:hint="eastAsia" w:ascii="宋体" w:hAnsi="宋体" w:cs="宋体"/>
          <w:sz w:val="24"/>
          <w:lang w:eastAsia="zh-CN"/>
        </w:rPr>
        <w:t>2026年南方电网数字电网集团有限公司深圳分公司软硬件产品（堡垒机、日志审计系统、入侵防御系统）投标寻源项目</w:t>
      </w:r>
      <w:r>
        <w:rPr>
          <w:rFonts w:hint="eastAsia" w:ascii="宋体" w:hAnsi="宋体" w:cs="宋体"/>
          <w:sz w:val="24"/>
        </w:rPr>
        <w:t>。</w:t>
      </w:r>
    </w:p>
    <w:p w14:paraId="1ACAA9A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本技术条件书提出的是最低限度的技术要求, 并未对一切技术细节做出规定, 也未充分引述有关标准和规范的条文,</w:t>
      </w:r>
      <w:r>
        <w:rPr>
          <w:rFonts w:hint="eastAsia" w:ascii="宋体" w:hAnsi="宋体" w:cs="宋体"/>
          <w:sz w:val="24"/>
          <w:lang w:eastAsia="zh-CN"/>
        </w:rPr>
        <w:t>报价人</w:t>
      </w:r>
      <w:r>
        <w:rPr>
          <w:rFonts w:hint="eastAsia" w:ascii="宋体" w:hAnsi="宋体" w:cs="宋体"/>
          <w:sz w:val="24"/>
        </w:rPr>
        <w:t>应提供符合本技术条件书和工业标准的优质产品。</w:t>
      </w:r>
    </w:p>
    <w:p w14:paraId="57F8657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如果</w:t>
      </w:r>
      <w:r>
        <w:rPr>
          <w:rFonts w:hint="eastAsia" w:ascii="宋体" w:hAnsi="宋体" w:cs="宋体"/>
          <w:sz w:val="24"/>
          <w:lang w:eastAsia="zh-CN"/>
        </w:rPr>
        <w:t>报价人</w:t>
      </w:r>
      <w:r>
        <w:rPr>
          <w:rFonts w:hint="eastAsia" w:ascii="宋体" w:hAnsi="宋体" w:cs="宋体"/>
          <w:sz w:val="24"/>
        </w:rPr>
        <w:t>没有以书面形式对本技术条件书的条文提出异议, 则意味着</w:t>
      </w:r>
      <w:r>
        <w:rPr>
          <w:rFonts w:hint="eastAsia" w:ascii="宋体" w:hAnsi="宋体" w:cs="宋体"/>
          <w:sz w:val="24"/>
          <w:lang w:eastAsia="zh-CN"/>
        </w:rPr>
        <w:t>报价人</w:t>
      </w:r>
      <w:r>
        <w:rPr>
          <w:rFonts w:hint="eastAsia" w:ascii="宋体" w:hAnsi="宋体" w:cs="宋体"/>
          <w:sz w:val="24"/>
        </w:rPr>
        <w:t>方提供的设备(或系统)完全符合本技术条件书的要求。如有异议, 不管是多么微小, 都应在报价书中以“对谈判技术文件的意见和同谈判技术文件的差异”为标题的专门章节中加以详细描述。</w:t>
      </w:r>
    </w:p>
    <w:p w14:paraId="5AF1B9A0">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本技术条件书所使用的标准如遇与</w:t>
      </w:r>
      <w:r>
        <w:rPr>
          <w:rFonts w:hint="eastAsia" w:ascii="宋体" w:hAnsi="宋体" w:cs="宋体"/>
          <w:sz w:val="24"/>
          <w:lang w:eastAsia="zh-CN"/>
        </w:rPr>
        <w:t>报价人</w:t>
      </w:r>
      <w:r>
        <w:rPr>
          <w:rFonts w:hint="eastAsia" w:ascii="宋体" w:hAnsi="宋体" w:cs="宋体"/>
          <w:sz w:val="24"/>
        </w:rPr>
        <w:t>所执行的标准不一致时, 按较高标准执行。</w:t>
      </w:r>
    </w:p>
    <w:p w14:paraId="29D23481">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本技术条件书经</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双方确认后作为订货合同的技术附件，与合同正文具有同等法律效力。</w:t>
      </w:r>
    </w:p>
    <w:p w14:paraId="61084A2E">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在响应文件中应如实反映应标产品与本技术条件书的技术差异。如果</w:t>
      </w:r>
      <w:r>
        <w:rPr>
          <w:rFonts w:hint="eastAsia" w:ascii="宋体" w:hAnsi="宋体" w:cs="宋体"/>
          <w:sz w:val="24"/>
          <w:lang w:eastAsia="zh-CN"/>
        </w:rPr>
        <w:t>报价人</w:t>
      </w:r>
      <w:r>
        <w:rPr>
          <w:rFonts w:hint="eastAsia" w:ascii="宋体" w:hAnsi="宋体" w:cs="宋体"/>
          <w:sz w:val="24"/>
        </w:rPr>
        <w:t>没有提出技术差异，而在执行合同的过程中，</w:t>
      </w:r>
      <w:r>
        <w:rPr>
          <w:rFonts w:hint="eastAsia" w:ascii="宋体" w:hAnsi="宋体" w:cs="宋体"/>
          <w:sz w:val="24"/>
          <w:lang w:eastAsia="zh-CN"/>
        </w:rPr>
        <w:t>投标寻源方</w:t>
      </w:r>
      <w:r>
        <w:rPr>
          <w:rFonts w:hint="eastAsia" w:ascii="宋体" w:hAnsi="宋体" w:cs="宋体"/>
          <w:sz w:val="24"/>
        </w:rPr>
        <w:t>发现</w:t>
      </w:r>
      <w:r>
        <w:rPr>
          <w:rFonts w:hint="eastAsia" w:ascii="宋体" w:hAnsi="宋体" w:cs="宋体"/>
          <w:sz w:val="24"/>
          <w:lang w:eastAsia="zh-CN"/>
        </w:rPr>
        <w:t>报价人</w:t>
      </w:r>
      <w:r>
        <w:rPr>
          <w:rFonts w:hint="eastAsia" w:ascii="宋体" w:hAnsi="宋体" w:cs="宋体"/>
          <w:sz w:val="24"/>
        </w:rPr>
        <w:t>提供的产品与其应标技术文件的条文存在差异，</w:t>
      </w:r>
      <w:r>
        <w:rPr>
          <w:rFonts w:hint="eastAsia" w:ascii="宋体" w:hAnsi="宋体" w:cs="宋体"/>
          <w:sz w:val="24"/>
          <w:lang w:eastAsia="zh-CN"/>
        </w:rPr>
        <w:t>投标寻源方</w:t>
      </w:r>
      <w:r>
        <w:rPr>
          <w:rFonts w:hint="eastAsia" w:ascii="宋体" w:hAnsi="宋体" w:cs="宋体"/>
          <w:sz w:val="24"/>
        </w:rPr>
        <w:t>有权利要求退货，并将对下一年度的评标工作有不同程度的影响。</w:t>
      </w:r>
    </w:p>
    <w:p w14:paraId="7938C534">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应在应标技术部分按本技术条件书的要求如实详细的填写应标设备的标准配置表，并在应标商务部分按此标准配置进行报价，如发现二者有矛盾之处，将对评标工作有不同程度的影响。</w:t>
      </w:r>
    </w:p>
    <w:p w14:paraId="6FA39B49">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应充分理解本技术条件书并按本技术条件书的具体条款、格式要求填写应标的技术文件，如发现应标的技术文件条款、格式不符合本技术条件书的要求，则认为应标不严肃，在评标时将有不同程度的扣分。</w:t>
      </w:r>
    </w:p>
    <w:p w14:paraId="1FBA8E50">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rPr>
        <w:t>本技术条件书未尽事宜, 由</w:t>
      </w:r>
      <w:r>
        <w:rPr>
          <w:rFonts w:hint="eastAsia" w:ascii="宋体" w:hAnsi="宋体" w:cs="宋体"/>
          <w:sz w:val="24"/>
          <w:lang w:eastAsia="zh-CN"/>
        </w:rPr>
        <w:t>投标寻源方</w:t>
      </w:r>
      <w:r>
        <w:rPr>
          <w:rFonts w:hint="eastAsia" w:ascii="宋体" w:hAnsi="宋体" w:cs="宋体"/>
          <w:sz w:val="24"/>
        </w:rPr>
        <w:t>、</w:t>
      </w:r>
      <w:r>
        <w:rPr>
          <w:rFonts w:hint="eastAsia" w:ascii="宋体" w:hAnsi="宋体" w:cs="宋体"/>
          <w:sz w:val="24"/>
          <w:lang w:eastAsia="zh-CN"/>
        </w:rPr>
        <w:t>报价人</w:t>
      </w:r>
      <w:r>
        <w:rPr>
          <w:rFonts w:hint="eastAsia" w:ascii="宋体" w:hAnsi="宋体" w:cs="宋体"/>
          <w:sz w:val="24"/>
        </w:rPr>
        <w:t>双方协商确定。</w:t>
      </w:r>
    </w:p>
    <w:p w14:paraId="0B68F6A6">
      <w:pPr>
        <w:pStyle w:val="4"/>
        <w:keepNext/>
        <w:keepLines/>
        <w:pageBreakBefore/>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5" w:name="_Toc11532"/>
      <w:r>
        <w:rPr>
          <w:rFonts w:hint="eastAsia" w:ascii="宋体" w:hAnsi="宋体" w:cs="宋体"/>
          <w:kern w:val="0"/>
          <w:sz w:val="24"/>
          <w:szCs w:val="24"/>
          <w:lang w:val="en-US" w:eastAsia="zh-CN"/>
        </w:rPr>
        <w:t>项目概况</w:t>
      </w:r>
      <w:bookmarkEnd w:id="5"/>
    </w:p>
    <w:p w14:paraId="2F90DE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rPr>
      </w:pPr>
      <w:r>
        <w:rPr>
          <w:rFonts w:hint="eastAsia"/>
          <w:sz w:val="24"/>
          <w:szCs w:val="24"/>
          <w:lang w:val="en-US" w:eastAsia="zh-CN"/>
        </w:rPr>
        <w:t>为满足项目实施交付需求，计划采购日志审计系统1套。</w:t>
      </w:r>
    </w:p>
    <w:p w14:paraId="4EF7DD86">
      <w:pPr>
        <w:pStyle w:val="4"/>
        <w:numPr>
          <w:ilvl w:val="0"/>
          <w:numId w:val="4"/>
        </w:numPr>
        <w:spacing w:before="0" w:after="0" w:line="360" w:lineRule="auto"/>
        <w:rPr>
          <w:rFonts w:hint="eastAsia" w:ascii="宋体" w:hAnsi="宋体" w:eastAsia="宋体" w:cs="宋体"/>
          <w:b/>
          <w:bCs/>
          <w:kern w:val="0"/>
          <w:sz w:val="24"/>
          <w:szCs w:val="24"/>
        </w:rPr>
      </w:pPr>
      <w:bookmarkStart w:id="6" w:name="_Toc24890_WPSOffice_Level1"/>
      <w:bookmarkStart w:id="7" w:name="_Toc3695"/>
      <w:bookmarkStart w:id="8" w:name="_Toc18031_WPSOffice_Level1"/>
      <w:bookmarkStart w:id="9" w:name="_Toc317690117"/>
      <w:bookmarkStart w:id="10" w:name="_Toc19546"/>
      <w:bookmarkStart w:id="11" w:name="_Toc317067398"/>
      <w:bookmarkStart w:id="12" w:name="_Toc317689829"/>
      <w:r>
        <w:rPr>
          <w:rFonts w:hint="eastAsia" w:ascii="宋体" w:hAnsi="宋体" w:eastAsia="宋体" w:cs="宋体"/>
          <w:b/>
          <w:bCs/>
          <w:kern w:val="0"/>
          <w:sz w:val="24"/>
          <w:szCs w:val="24"/>
        </w:rPr>
        <w:t>工作范围</w:t>
      </w:r>
      <w:bookmarkEnd w:id="6"/>
      <w:bookmarkEnd w:id="7"/>
      <w:bookmarkEnd w:id="8"/>
      <w:bookmarkEnd w:id="9"/>
      <w:bookmarkEnd w:id="10"/>
      <w:bookmarkEnd w:id="11"/>
      <w:bookmarkEnd w:id="12"/>
    </w:p>
    <w:p w14:paraId="1F4741F7">
      <w:pPr>
        <w:numPr>
          <w:ilvl w:val="1"/>
          <w:numId w:val="4"/>
        </w:numPr>
        <w:adjustRightInd w:val="0"/>
        <w:spacing w:line="360" w:lineRule="auto"/>
        <w:ind w:left="0" w:firstLine="0"/>
        <w:outlineLvl w:val="1"/>
        <w:rPr>
          <w:rFonts w:hint="eastAsia" w:ascii="宋体" w:hAnsi="宋体" w:cs="宋体"/>
          <w:sz w:val="24"/>
        </w:rPr>
      </w:pPr>
      <w:bookmarkStart w:id="13" w:name="_Toc317690119"/>
      <w:bookmarkStart w:id="14" w:name="_Toc317689831"/>
      <w:bookmarkStart w:id="15" w:name="_Toc317067400"/>
      <w:bookmarkStart w:id="16" w:name="_Toc18434"/>
      <w:bookmarkStart w:id="17" w:name="_Toc924_WPSOffice_Level1"/>
      <w:bookmarkStart w:id="18" w:name="_Toc8887_WPSOffice_Level1"/>
      <w:r>
        <w:rPr>
          <w:rFonts w:hint="eastAsia" w:ascii="宋体" w:hAnsi="宋体" w:cs="宋体"/>
          <w:sz w:val="24"/>
        </w:rPr>
        <w:t>服务界限</w:t>
      </w:r>
      <w:bookmarkEnd w:id="13"/>
      <w:bookmarkEnd w:id="14"/>
      <w:bookmarkEnd w:id="15"/>
    </w:p>
    <w:p w14:paraId="11977389">
      <w:pPr>
        <w:pStyle w:val="6"/>
        <w:numPr>
          <w:ilvl w:val="2"/>
          <w:numId w:val="4"/>
        </w:numPr>
        <w:spacing w:before="0" w:after="0" w:line="360" w:lineRule="auto"/>
        <w:ind w:left="0" w:firstLine="0"/>
        <w:rPr>
          <w:rFonts w:hint="eastAsia" w:ascii="宋体" w:hAnsi="宋体" w:cs="宋体"/>
          <w:b w:val="0"/>
          <w:sz w:val="24"/>
          <w:szCs w:val="24"/>
        </w:rPr>
      </w:pPr>
      <w:r>
        <w:rPr>
          <w:rFonts w:hint="eastAsia" w:ascii="宋体" w:hAnsi="宋体" w:cs="宋体"/>
          <w:b w:val="0"/>
          <w:sz w:val="24"/>
          <w:szCs w:val="24"/>
        </w:rPr>
        <w:t>现场</w:t>
      </w:r>
      <w:r>
        <w:rPr>
          <w:rFonts w:hint="eastAsia" w:ascii="宋体" w:hAnsi="宋体" w:cs="宋体"/>
          <w:b w:val="0"/>
          <w:sz w:val="24"/>
          <w:szCs w:val="24"/>
          <w:lang w:val="en-US" w:eastAsia="zh-CN"/>
        </w:rPr>
        <w:t>授权</w:t>
      </w:r>
      <w:r>
        <w:rPr>
          <w:rFonts w:hint="eastAsia" w:ascii="宋体" w:hAnsi="宋体" w:cs="宋体"/>
          <w:b w:val="0"/>
          <w:sz w:val="24"/>
          <w:szCs w:val="24"/>
        </w:rPr>
        <w:t>安装和</w:t>
      </w:r>
      <w:r>
        <w:rPr>
          <w:rFonts w:hint="eastAsia" w:ascii="宋体" w:hAnsi="宋体" w:cs="宋体"/>
          <w:b w:val="0"/>
          <w:sz w:val="24"/>
          <w:szCs w:val="24"/>
          <w:lang w:val="en-US" w:eastAsia="zh-CN"/>
        </w:rPr>
        <w:t>调试</w:t>
      </w:r>
      <w:r>
        <w:rPr>
          <w:rFonts w:hint="eastAsia" w:ascii="宋体" w:hAnsi="宋体" w:cs="宋体"/>
          <w:b w:val="0"/>
          <w:sz w:val="24"/>
          <w:szCs w:val="24"/>
        </w:rPr>
        <w:t>在</w:t>
      </w:r>
      <w:r>
        <w:rPr>
          <w:rFonts w:hint="eastAsia" w:ascii="宋体" w:hAnsi="宋体" w:cs="宋体"/>
          <w:b w:val="0"/>
          <w:sz w:val="24"/>
          <w:szCs w:val="24"/>
          <w:lang w:eastAsia="zh-CN"/>
        </w:rPr>
        <w:t>报价人</w:t>
      </w:r>
      <w:r>
        <w:rPr>
          <w:rFonts w:hint="eastAsia" w:ascii="宋体" w:hAnsi="宋体" w:cs="宋体"/>
          <w:b w:val="0"/>
          <w:sz w:val="24"/>
          <w:szCs w:val="24"/>
        </w:rPr>
        <w:t>的技术指导和监督下由</w:t>
      </w:r>
      <w:r>
        <w:rPr>
          <w:rFonts w:hint="eastAsia" w:ascii="宋体" w:hAnsi="宋体" w:cs="宋体"/>
          <w:b w:val="0"/>
          <w:sz w:val="24"/>
          <w:szCs w:val="24"/>
          <w:lang w:eastAsia="zh-CN"/>
        </w:rPr>
        <w:t>投标寻源方</w:t>
      </w:r>
      <w:r>
        <w:rPr>
          <w:rFonts w:hint="eastAsia" w:ascii="宋体" w:hAnsi="宋体" w:cs="宋体"/>
          <w:b w:val="0"/>
          <w:sz w:val="24"/>
          <w:szCs w:val="24"/>
        </w:rPr>
        <w:t>完成，</w:t>
      </w:r>
      <w:r>
        <w:rPr>
          <w:rFonts w:hint="eastAsia" w:ascii="宋体" w:hAnsi="宋体" w:cs="宋体"/>
          <w:b w:val="0"/>
          <w:sz w:val="24"/>
          <w:szCs w:val="24"/>
          <w:lang w:eastAsia="zh-CN"/>
        </w:rPr>
        <w:t>报价人</w:t>
      </w:r>
      <w:r>
        <w:rPr>
          <w:rFonts w:hint="eastAsia" w:ascii="宋体" w:hAnsi="宋体" w:cs="宋体"/>
          <w:b w:val="0"/>
          <w:sz w:val="24"/>
          <w:szCs w:val="24"/>
        </w:rPr>
        <w:t>协助</w:t>
      </w:r>
      <w:r>
        <w:rPr>
          <w:rFonts w:hint="eastAsia" w:ascii="宋体" w:hAnsi="宋体" w:cs="宋体"/>
          <w:b w:val="0"/>
          <w:sz w:val="24"/>
          <w:szCs w:val="24"/>
          <w:lang w:eastAsia="zh-CN"/>
        </w:rPr>
        <w:t>投标寻源方</w:t>
      </w:r>
      <w:r>
        <w:rPr>
          <w:rFonts w:hint="eastAsia" w:ascii="宋体" w:hAnsi="宋体" w:cs="宋体"/>
          <w:b w:val="0"/>
          <w:sz w:val="24"/>
          <w:szCs w:val="24"/>
        </w:rPr>
        <w:t>按标准检查安装质量，处理调试投运过程中出现的问题；</w:t>
      </w:r>
    </w:p>
    <w:p w14:paraId="055116DB">
      <w:pPr>
        <w:numPr>
          <w:ilvl w:val="1"/>
          <w:numId w:val="4"/>
        </w:numPr>
        <w:adjustRightInd w:val="0"/>
        <w:spacing w:line="360" w:lineRule="auto"/>
        <w:ind w:left="0" w:firstLine="0"/>
        <w:outlineLvl w:val="1"/>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到货周期</w:t>
      </w:r>
    </w:p>
    <w:p w14:paraId="26F103F2">
      <w:pPr>
        <w:spacing w:line="360" w:lineRule="auto"/>
        <w:ind w:firstLine="480" w:firstLineChars="200"/>
        <w:rPr>
          <w:rFonts w:hint="eastAsia" w:ascii="宋体" w:hAnsi="宋体" w:eastAsia="宋体" w:cs="宋体"/>
          <w:sz w:val="24"/>
          <w:highlight w:val="none"/>
          <w:lang w:val="en-US" w:eastAsia="zh-CN"/>
        </w:rPr>
      </w:pPr>
      <w:r>
        <w:rPr>
          <w:rFonts w:hint="eastAsia" w:ascii="宋体" w:hAnsi="宋体" w:eastAsia="宋体" w:cs="Times New Roman"/>
          <w:sz w:val="24"/>
          <w:highlight w:val="none"/>
          <w:lang w:val="en-US" w:eastAsia="zh-CN"/>
        </w:rPr>
        <w:t>要求自合同签订之日起30日内到货。</w:t>
      </w:r>
      <w:r>
        <w:rPr>
          <w:rFonts w:hint="eastAsia" w:ascii="宋体" w:hAnsi="宋体" w:eastAsia="宋体" w:cs="Times New Roman"/>
          <w:sz w:val="24"/>
          <w:highlight w:val="none"/>
        </w:rPr>
        <w:t xml:space="preserve"> </w:t>
      </w:r>
    </w:p>
    <w:p w14:paraId="2AE6FBB9">
      <w:pPr>
        <w:pStyle w:val="4"/>
        <w:numPr>
          <w:ilvl w:val="0"/>
          <w:numId w:val="4"/>
        </w:numPr>
        <w:spacing w:before="0" w:after="0" w:line="360" w:lineRule="auto"/>
        <w:rPr>
          <w:rFonts w:hint="eastAsia" w:ascii="宋体" w:hAnsi="宋体" w:cs="宋体"/>
          <w:kern w:val="0"/>
          <w:sz w:val="24"/>
          <w:szCs w:val="24"/>
        </w:rPr>
      </w:pPr>
      <w:bookmarkStart w:id="19" w:name="_Toc20800"/>
      <w:r>
        <w:rPr>
          <w:rFonts w:hint="eastAsia" w:ascii="宋体" w:hAnsi="宋体" w:cs="宋体"/>
          <w:kern w:val="0"/>
          <w:sz w:val="24"/>
          <w:szCs w:val="24"/>
        </w:rPr>
        <w:t>引用标准</w:t>
      </w:r>
      <w:bookmarkEnd w:id="16"/>
      <w:bookmarkEnd w:id="17"/>
      <w:bookmarkEnd w:id="18"/>
      <w:bookmarkEnd w:id="19"/>
    </w:p>
    <w:p w14:paraId="07CEFF95">
      <w:pPr>
        <w:spacing w:line="360" w:lineRule="auto"/>
        <w:ind w:firstLine="420"/>
        <w:rPr>
          <w:rFonts w:hint="eastAsia" w:ascii="宋体" w:hAnsi="宋体" w:cs="宋体"/>
          <w:sz w:val="24"/>
        </w:rPr>
      </w:pPr>
      <w:bookmarkStart w:id="20" w:name="FLDBZBH"/>
      <w:bookmarkEnd w:id="20"/>
      <w:r>
        <w:rPr>
          <w:rFonts w:hint="eastAsia" w:ascii="宋体" w:hAnsi="宋体" w:cs="宋体"/>
          <w:sz w:val="24"/>
        </w:rPr>
        <w:t>除本招标书另有说明外，</w:t>
      </w:r>
      <w:r>
        <w:rPr>
          <w:rFonts w:hint="eastAsia" w:ascii="宋体" w:hAnsi="宋体" w:cs="宋体"/>
          <w:sz w:val="24"/>
          <w:lang w:eastAsia="zh-CN"/>
        </w:rPr>
        <w:t>报价人</w:t>
      </w:r>
      <w:r>
        <w:rPr>
          <w:rFonts w:hint="eastAsia" w:ascii="宋体" w:hAnsi="宋体" w:cs="宋体"/>
          <w:sz w:val="24"/>
        </w:rPr>
        <w:t>提供的所有设备均应按照下列标准进行设计、制造、检验和安装。所用的标准必须是最新版本。如果这些标准的内容有不同之处时，应按照最高标准的条款执行或按双方协商同意的标准执行。如果</w:t>
      </w:r>
      <w:r>
        <w:rPr>
          <w:rFonts w:hint="eastAsia" w:ascii="宋体" w:hAnsi="宋体" w:cs="宋体"/>
          <w:sz w:val="24"/>
          <w:lang w:eastAsia="zh-CN"/>
        </w:rPr>
        <w:t>报价人</w:t>
      </w:r>
      <w:r>
        <w:rPr>
          <w:rFonts w:hint="eastAsia" w:ascii="宋体" w:hAnsi="宋体" w:cs="宋体"/>
          <w:sz w:val="24"/>
        </w:rPr>
        <w:t>选用本条件书以外的标准时，需提交这种替换标准相当于或优于本条件书规定的标准的说明。标准如下：</w:t>
      </w:r>
    </w:p>
    <w:p w14:paraId="7BCA76E4">
      <w:pPr>
        <w:spacing w:line="360" w:lineRule="auto"/>
        <w:rPr>
          <w:rFonts w:hint="eastAsia" w:ascii="宋体" w:hAnsi="宋体" w:cs="宋体"/>
          <w:sz w:val="24"/>
        </w:rPr>
      </w:pPr>
      <w:r>
        <w:rPr>
          <w:rFonts w:hint="eastAsia" w:ascii="宋体" w:hAnsi="宋体" w:cs="宋体"/>
          <w:sz w:val="24"/>
        </w:rPr>
        <w:t>（1）GB-------中华人民共和国国家标准</w:t>
      </w:r>
    </w:p>
    <w:p w14:paraId="7EC2275A">
      <w:pPr>
        <w:spacing w:line="360" w:lineRule="auto"/>
        <w:rPr>
          <w:rFonts w:hint="eastAsia" w:ascii="宋体" w:hAnsi="宋体" w:cs="宋体"/>
          <w:sz w:val="24"/>
        </w:rPr>
      </w:pPr>
      <w:r>
        <w:rPr>
          <w:rFonts w:hint="eastAsia" w:ascii="宋体" w:hAnsi="宋体" w:cs="宋体"/>
          <w:sz w:val="24"/>
        </w:rPr>
        <w:t>（2）DL-------中华人民共和国电力行业标准</w:t>
      </w:r>
    </w:p>
    <w:p w14:paraId="52808007">
      <w:pPr>
        <w:spacing w:line="360" w:lineRule="auto"/>
        <w:rPr>
          <w:rFonts w:hint="eastAsia" w:ascii="宋体" w:hAnsi="宋体" w:cs="宋体"/>
          <w:sz w:val="24"/>
        </w:rPr>
      </w:pPr>
      <w:r>
        <w:rPr>
          <w:rFonts w:hint="eastAsia" w:ascii="宋体" w:hAnsi="宋体" w:cs="宋体"/>
          <w:sz w:val="24"/>
        </w:rPr>
        <w:t>（3）《电力二次系统安全防护规定》</w:t>
      </w:r>
    </w:p>
    <w:p w14:paraId="5237B416">
      <w:pPr>
        <w:spacing w:line="360" w:lineRule="auto"/>
        <w:rPr>
          <w:rFonts w:hint="eastAsia" w:ascii="宋体" w:hAnsi="宋体" w:cs="宋体"/>
          <w:sz w:val="24"/>
        </w:rPr>
      </w:pPr>
      <w:r>
        <w:rPr>
          <w:rFonts w:hint="eastAsia" w:ascii="宋体" w:hAnsi="宋体" w:cs="宋体"/>
          <w:sz w:val="24"/>
        </w:rPr>
        <w:t>（4）中国信息安全测评中心</w:t>
      </w:r>
    </w:p>
    <w:p w14:paraId="26420571">
      <w:pPr>
        <w:spacing w:line="360" w:lineRule="auto"/>
        <w:rPr>
          <w:rFonts w:hint="eastAsia" w:ascii="宋体" w:hAnsi="宋体" w:cs="宋体"/>
          <w:sz w:val="24"/>
        </w:rPr>
      </w:pPr>
      <w:r>
        <w:rPr>
          <w:rFonts w:hint="eastAsia" w:ascii="宋体" w:hAnsi="宋体" w:cs="宋体"/>
          <w:sz w:val="24"/>
        </w:rPr>
        <w:t>（5）国家保密科技测评中心</w:t>
      </w:r>
    </w:p>
    <w:p w14:paraId="7FCBDDB7">
      <w:pPr>
        <w:spacing w:line="360" w:lineRule="auto"/>
        <w:rPr>
          <w:rFonts w:hint="eastAsia" w:ascii="宋体" w:hAnsi="宋体" w:cs="宋体"/>
          <w:sz w:val="24"/>
        </w:rPr>
      </w:pPr>
      <w:r>
        <w:rPr>
          <w:rFonts w:hint="eastAsia" w:ascii="宋体" w:hAnsi="宋体" w:cs="宋体"/>
          <w:sz w:val="24"/>
        </w:rPr>
        <w:t>（6）ISO------国际标准化组织标准</w:t>
      </w:r>
    </w:p>
    <w:p w14:paraId="69052480">
      <w:pPr>
        <w:spacing w:line="360" w:lineRule="auto"/>
        <w:rPr>
          <w:rFonts w:hint="eastAsia" w:ascii="宋体" w:hAnsi="宋体" w:cs="宋体"/>
          <w:sz w:val="24"/>
        </w:rPr>
      </w:pPr>
      <w:r>
        <w:rPr>
          <w:rFonts w:hint="eastAsia" w:ascii="宋体" w:hAnsi="宋体" w:cs="宋体"/>
          <w:sz w:val="24"/>
        </w:rPr>
        <w:t>（7）IEC------国际电工委员会标准</w:t>
      </w:r>
    </w:p>
    <w:p w14:paraId="5B4E33A3">
      <w:pPr>
        <w:spacing w:line="360" w:lineRule="auto"/>
        <w:rPr>
          <w:rFonts w:hint="eastAsia" w:ascii="宋体" w:hAnsi="宋体" w:cs="宋体"/>
          <w:sz w:val="24"/>
        </w:rPr>
      </w:pPr>
      <w:r>
        <w:rPr>
          <w:rFonts w:hint="eastAsia" w:ascii="宋体" w:hAnsi="宋体" w:cs="宋体"/>
          <w:sz w:val="24"/>
        </w:rPr>
        <w:t>（8）ITU-T----国际电信联盟标准</w:t>
      </w:r>
    </w:p>
    <w:p w14:paraId="1A711E6D">
      <w:pPr>
        <w:spacing w:line="360" w:lineRule="auto"/>
        <w:rPr>
          <w:rFonts w:hint="eastAsia" w:ascii="宋体" w:hAnsi="宋体" w:cs="宋体"/>
          <w:sz w:val="24"/>
        </w:rPr>
      </w:pPr>
      <w:r>
        <w:rPr>
          <w:rFonts w:hint="eastAsia" w:ascii="宋体" w:hAnsi="宋体" w:cs="宋体"/>
          <w:sz w:val="24"/>
        </w:rPr>
        <w:t>（9）CCITT ------国际电报和电话咨询委员会</w:t>
      </w:r>
    </w:p>
    <w:p w14:paraId="36FCEE69">
      <w:pPr>
        <w:spacing w:line="360" w:lineRule="auto"/>
        <w:rPr>
          <w:rFonts w:hint="eastAsia" w:ascii="宋体" w:hAnsi="宋体" w:cs="宋体"/>
          <w:sz w:val="24"/>
        </w:rPr>
      </w:pPr>
      <w:r>
        <w:rPr>
          <w:rFonts w:hint="eastAsia" w:ascii="宋体" w:hAnsi="宋体" w:cs="宋体"/>
          <w:sz w:val="24"/>
        </w:rPr>
        <w:t>（10）ITU------国际电信联盟</w:t>
      </w:r>
    </w:p>
    <w:p w14:paraId="2DB9C494">
      <w:pPr>
        <w:spacing w:line="360" w:lineRule="auto"/>
        <w:rPr>
          <w:rFonts w:hint="eastAsia" w:ascii="宋体" w:hAnsi="宋体" w:cs="宋体"/>
          <w:sz w:val="24"/>
        </w:rPr>
      </w:pPr>
      <w:r>
        <w:rPr>
          <w:rFonts w:hint="eastAsia" w:ascii="宋体" w:hAnsi="宋体" w:cs="宋体"/>
          <w:sz w:val="24"/>
        </w:rPr>
        <w:t>（11）SI------标准国际单位制</w:t>
      </w:r>
    </w:p>
    <w:p w14:paraId="3B51EB21">
      <w:pPr>
        <w:spacing w:line="360" w:lineRule="auto"/>
        <w:rPr>
          <w:rFonts w:hint="eastAsia" w:ascii="宋体" w:hAnsi="宋体" w:cs="宋体"/>
          <w:sz w:val="24"/>
          <w:highlight w:val="none"/>
        </w:rPr>
      </w:pPr>
      <w:r>
        <w:rPr>
          <w:rFonts w:hint="eastAsia" w:ascii="宋体" w:hAnsi="宋体" w:cs="宋体"/>
          <w:sz w:val="24"/>
        </w:rPr>
        <w:t>（12）其它招标方指定的规约</w:t>
      </w:r>
    </w:p>
    <w:p w14:paraId="4F96CDF1">
      <w:pPr>
        <w:pStyle w:val="4"/>
        <w:numPr>
          <w:ilvl w:val="0"/>
          <w:numId w:val="4"/>
        </w:numPr>
        <w:spacing w:before="0" w:after="0" w:line="360" w:lineRule="auto"/>
        <w:rPr>
          <w:rFonts w:hint="eastAsia" w:ascii="宋体" w:hAnsi="宋体" w:cs="宋体"/>
          <w:kern w:val="0"/>
          <w:sz w:val="24"/>
          <w:szCs w:val="24"/>
        </w:rPr>
      </w:pPr>
      <w:bookmarkStart w:id="21" w:name="_Toc221617188"/>
      <w:bookmarkEnd w:id="21"/>
      <w:bookmarkStart w:id="22" w:name="_Toc221619631"/>
      <w:bookmarkEnd w:id="22"/>
      <w:bookmarkStart w:id="23" w:name="_Toc221619633"/>
      <w:bookmarkEnd w:id="23"/>
      <w:bookmarkStart w:id="24" w:name="_Toc221610058"/>
      <w:bookmarkEnd w:id="24"/>
      <w:bookmarkStart w:id="25" w:name="_Toc221610057"/>
      <w:bookmarkEnd w:id="25"/>
      <w:bookmarkStart w:id="26" w:name="_Toc221617189"/>
      <w:bookmarkEnd w:id="26"/>
      <w:bookmarkStart w:id="27" w:name="_Toc221617186"/>
      <w:bookmarkEnd w:id="27"/>
      <w:bookmarkStart w:id="28" w:name="_Toc221610059"/>
      <w:bookmarkEnd w:id="28"/>
      <w:bookmarkStart w:id="29" w:name="_Toc221619634"/>
      <w:bookmarkEnd w:id="29"/>
      <w:bookmarkStart w:id="30" w:name="_Toc221617187"/>
      <w:bookmarkEnd w:id="30"/>
      <w:bookmarkStart w:id="31" w:name="_Toc221610060"/>
      <w:bookmarkEnd w:id="31"/>
      <w:bookmarkStart w:id="32" w:name="_Toc221619632"/>
      <w:bookmarkEnd w:id="32"/>
      <w:bookmarkStart w:id="33" w:name="_Toc15695"/>
      <w:bookmarkStart w:id="34" w:name="_Toc4389_WPSOffice_Level1"/>
      <w:bookmarkStart w:id="35" w:name="_Toc27549_WPSOffice_Level1"/>
      <w:bookmarkStart w:id="36" w:name="_Toc15293"/>
      <w:r>
        <w:rPr>
          <w:rFonts w:hint="eastAsia" w:ascii="宋体" w:hAnsi="宋体" w:cs="宋体"/>
          <w:kern w:val="0"/>
          <w:sz w:val="24"/>
          <w:szCs w:val="24"/>
        </w:rPr>
        <w:t>使用环境要求</w:t>
      </w:r>
      <w:bookmarkEnd w:id="33"/>
    </w:p>
    <w:p w14:paraId="6AE23776">
      <w:pPr>
        <w:pStyle w:val="74"/>
        <w:keepLines w:val="0"/>
        <w:pageBreakBefore w:val="0"/>
        <w:kinsoku/>
        <w:wordWrap/>
        <w:overflowPunct/>
        <w:topLinePunct w:val="0"/>
        <w:autoSpaceDE/>
        <w:autoSpaceDN/>
        <w:bidi w:val="0"/>
        <w:adjustRightInd w:val="0"/>
        <w:snapToGrid w:val="0"/>
        <w:spacing w:line="360" w:lineRule="auto"/>
        <w:textAlignment w:val="auto"/>
        <w:rPr>
          <w:rFonts w:hint="eastAsia" w:ascii="Times New Roman" w:hAnsi="Times New Roman" w:eastAsia="宋体" w:cs="Times New Roman"/>
          <w:sz w:val="24"/>
          <w:szCs w:val="24"/>
          <w:highlight w:val="none"/>
        </w:rPr>
      </w:pPr>
      <w:r>
        <w:rPr>
          <w:rFonts w:hint="eastAsia" w:ascii="Times New Roman" w:hAnsi="Times New Roman" w:eastAsia="宋体" w:cs="Times New Roman"/>
          <w:sz w:val="24"/>
          <w:szCs w:val="24"/>
          <w:highlight w:val="none"/>
        </w:rPr>
        <w:t>本设备招</w:t>
      </w:r>
      <w:r>
        <w:rPr>
          <w:rFonts w:hint="eastAsia" w:ascii="Times New Roman" w:hAnsi="Times New Roman" w:eastAsia="宋体" w:cs="Times New Roman"/>
          <w:sz w:val="24"/>
          <w:szCs w:val="24"/>
          <w:highlight w:val="none"/>
          <w:lang w:eastAsia="zh-CN"/>
        </w:rPr>
        <w:t>技术规范书</w:t>
      </w:r>
      <w:r>
        <w:rPr>
          <w:rFonts w:hint="eastAsia" w:ascii="Times New Roman" w:hAnsi="Times New Roman" w:eastAsia="宋体" w:cs="Times New Roman"/>
          <w:sz w:val="24"/>
          <w:szCs w:val="24"/>
          <w:highlight w:val="none"/>
        </w:rPr>
        <w:t>技术文件需要采购的设备，其外部使用条件</w:t>
      </w:r>
      <w:r>
        <w:rPr>
          <w:rFonts w:hint="eastAsia" w:ascii="Times New Roman" w:hAnsi="Times New Roman" w:eastAsia="宋体" w:cs="Times New Roman"/>
          <w:sz w:val="24"/>
          <w:szCs w:val="24"/>
          <w:highlight w:val="none"/>
          <w:lang w:val="en-US" w:eastAsia="zh-CN"/>
        </w:rPr>
        <w:t>如下</w:t>
      </w:r>
      <w:r>
        <w:rPr>
          <w:rFonts w:hint="eastAsia" w:ascii="Times New Roman" w:hAnsi="Times New Roman" w:eastAsia="宋体" w:cs="Times New Roman"/>
          <w:sz w:val="24"/>
          <w:szCs w:val="24"/>
          <w:highlight w:val="none"/>
        </w:rPr>
        <w:t>。</w:t>
      </w:r>
      <w:r>
        <w:rPr>
          <w:rFonts w:hint="eastAsia" w:eastAsia="宋体" w:cs="Times New Roman"/>
          <w:sz w:val="24"/>
          <w:szCs w:val="24"/>
          <w:highlight w:val="none"/>
          <w:lang w:eastAsia="zh-CN"/>
        </w:rPr>
        <w:t>报价人</w:t>
      </w:r>
      <w:r>
        <w:rPr>
          <w:rFonts w:hint="eastAsia" w:ascii="Times New Roman" w:hAnsi="Times New Roman" w:eastAsia="宋体" w:cs="Times New Roman"/>
          <w:sz w:val="24"/>
          <w:szCs w:val="24"/>
          <w:highlight w:val="none"/>
        </w:rPr>
        <w:t>应对所提供的设备性能参数在外部条件下进行校验、核对，使所供设备满足实际外部条件要求及全工况运行要求。</w:t>
      </w:r>
    </w:p>
    <w:p w14:paraId="1B7A85A0">
      <w:pPr>
        <w:pStyle w:val="74"/>
        <w:keepLines w:val="0"/>
        <w:pageBreakBefore w:val="0"/>
        <w:kinsoku/>
        <w:wordWrap/>
        <w:overflowPunct/>
        <w:topLinePunct w:val="0"/>
        <w:autoSpaceDE/>
        <w:autoSpaceDN/>
        <w:bidi w:val="0"/>
        <w:adjustRightInd w:val="0"/>
        <w:snapToGrid w:val="0"/>
        <w:spacing w:line="360" w:lineRule="auto"/>
        <w:textAlignment w:val="auto"/>
        <w:rPr>
          <w:rFonts w:hint="default" w:ascii="Times New Roman" w:hAnsi="Times New Roman" w:eastAsia="宋体" w:cs="Times New Roman"/>
          <w:sz w:val="24"/>
          <w:szCs w:val="24"/>
          <w:highlight w:val="none"/>
          <w:lang w:val="en-US" w:eastAsia="zh-CN"/>
        </w:rPr>
      </w:pPr>
      <w:r>
        <w:rPr>
          <w:rFonts w:hint="eastAsia" w:ascii="Times New Roman" w:hAnsi="Times New Roman" w:eastAsia="宋体" w:cs="Times New Roman"/>
          <w:sz w:val="24"/>
          <w:szCs w:val="24"/>
          <w:highlight w:val="none"/>
          <w:lang w:val="en-US" w:eastAsia="zh-CN"/>
        </w:rPr>
        <w:t>4.1</w:t>
      </w:r>
      <w:r>
        <w:rPr>
          <w:rFonts w:hint="eastAsia" w:eastAsia="宋体" w:cs="Times New Roman"/>
          <w:sz w:val="24"/>
          <w:szCs w:val="24"/>
          <w:highlight w:val="none"/>
          <w:lang w:val="en-US" w:eastAsia="zh-CN"/>
        </w:rPr>
        <w:t>设备</w:t>
      </w:r>
      <w:r>
        <w:rPr>
          <w:rFonts w:hint="eastAsia" w:ascii="Times New Roman" w:hAnsi="Times New Roman" w:eastAsia="宋体" w:cs="Times New Roman"/>
          <w:sz w:val="24"/>
          <w:szCs w:val="24"/>
          <w:highlight w:val="none"/>
          <w:lang w:val="en-US" w:eastAsia="zh-CN"/>
        </w:rPr>
        <w:t>使用环境</w:t>
      </w:r>
    </w:p>
    <w:tbl>
      <w:tblPr>
        <w:tblStyle w:val="24"/>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32"/>
        <w:gridCol w:w="1964"/>
        <w:gridCol w:w="2376"/>
        <w:gridCol w:w="2127"/>
        <w:gridCol w:w="1885"/>
      </w:tblGrid>
      <w:tr w14:paraId="37E7657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121AB9DC">
            <w:pPr>
              <w:jc w:val="center"/>
              <w:rPr>
                <w:rFonts w:hint="eastAsia" w:ascii="宋体" w:hAnsi="宋体"/>
                <w:color w:val="auto"/>
                <w:szCs w:val="21"/>
              </w:rPr>
            </w:pPr>
            <w:r>
              <w:rPr>
                <w:rFonts w:hint="eastAsia" w:ascii="宋体" w:hAnsi="宋体"/>
                <w:color w:val="auto"/>
                <w:szCs w:val="21"/>
              </w:rPr>
              <w:t>序号</w:t>
            </w:r>
          </w:p>
        </w:tc>
        <w:tc>
          <w:tcPr>
            <w:tcW w:w="1964" w:type="dxa"/>
            <w:vAlign w:val="center"/>
          </w:tcPr>
          <w:p w14:paraId="4E930B5B">
            <w:pPr>
              <w:jc w:val="center"/>
              <w:rPr>
                <w:rFonts w:hint="eastAsia" w:ascii="宋体" w:hAnsi="宋体"/>
                <w:color w:val="auto"/>
                <w:szCs w:val="21"/>
              </w:rPr>
            </w:pPr>
            <w:r>
              <w:rPr>
                <w:rFonts w:ascii="宋体" w:hAnsi="宋体"/>
                <w:color w:val="auto"/>
                <w:szCs w:val="21"/>
              </w:rPr>
              <w:t>名  称</w:t>
            </w:r>
          </w:p>
        </w:tc>
        <w:tc>
          <w:tcPr>
            <w:tcW w:w="2376" w:type="dxa"/>
            <w:vAlign w:val="center"/>
          </w:tcPr>
          <w:p w14:paraId="56CEC6B1">
            <w:pPr>
              <w:jc w:val="center"/>
              <w:rPr>
                <w:rFonts w:hint="eastAsia" w:ascii="宋体" w:hAnsi="宋体"/>
                <w:color w:val="auto"/>
                <w:szCs w:val="21"/>
              </w:rPr>
            </w:pPr>
            <w:r>
              <w:rPr>
                <w:rFonts w:hint="eastAsia" w:ascii="宋体" w:hAnsi="宋体"/>
                <w:color w:val="auto"/>
                <w:szCs w:val="21"/>
              </w:rPr>
              <w:t>项目要求值</w:t>
            </w:r>
          </w:p>
        </w:tc>
        <w:tc>
          <w:tcPr>
            <w:tcW w:w="2127" w:type="dxa"/>
            <w:vAlign w:val="center"/>
          </w:tcPr>
          <w:p w14:paraId="3E0925C6">
            <w:pPr>
              <w:jc w:val="center"/>
              <w:rPr>
                <w:rFonts w:hint="eastAsia" w:ascii="宋体" w:hAnsi="宋体"/>
                <w:color w:val="auto"/>
                <w:szCs w:val="21"/>
              </w:rPr>
            </w:pPr>
            <w:r>
              <w:rPr>
                <w:rFonts w:hint="eastAsia" w:ascii="宋体" w:hAnsi="宋体"/>
                <w:color w:val="auto"/>
                <w:szCs w:val="21"/>
                <w:lang w:eastAsia="zh-CN"/>
              </w:rPr>
              <w:t>报价人</w:t>
            </w:r>
            <w:r>
              <w:rPr>
                <w:rFonts w:ascii="宋体" w:hAnsi="宋体"/>
                <w:color w:val="auto"/>
                <w:szCs w:val="21"/>
              </w:rPr>
              <w:t>保证值</w:t>
            </w:r>
          </w:p>
        </w:tc>
        <w:tc>
          <w:tcPr>
            <w:tcW w:w="1885" w:type="dxa"/>
            <w:vAlign w:val="center"/>
          </w:tcPr>
          <w:p w14:paraId="78AE964C">
            <w:pPr>
              <w:jc w:val="center"/>
              <w:rPr>
                <w:rFonts w:hint="eastAsia" w:ascii="宋体" w:hAnsi="宋体"/>
                <w:color w:val="auto"/>
                <w:szCs w:val="21"/>
              </w:rPr>
            </w:pPr>
            <w:r>
              <w:rPr>
                <w:rFonts w:hint="eastAsia" w:ascii="宋体" w:hAnsi="宋体"/>
                <w:color w:val="auto"/>
                <w:szCs w:val="21"/>
              </w:rPr>
              <w:t>备注</w:t>
            </w:r>
          </w:p>
        </w:tc>
      </w:tr>
      <w:tr w14:paraId="4AA104B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75568A4F">
            <w:pPr>
              <w:rPr>
                <w:rFonts w:hint="eastAsia" w:ascii="宋体" w:hAnsi="宋体"/>
                <w:color w:val="auto"/>
                <w:szCs w:val="21"/>
              </w:rPr>
            </w:pPr>
            <w:r>
              <w:rPr>
                <w:rFonts w:hint="eastAsia" w:ascii="宋体" w:hAnsi="宋体"/>
                <w:color w:val="auto"/>
                <w:szCs w:val="21"/>
              </w:rPr>
              <w:t>1</w:t>
            </w:r>
          </w:p>
        </w:tc>
        <w:tc>
          <w:tcPr>
            <w:tcW w:w="1964" w:type="dxa"/>
            <w:vAlign w:val="center"/>
          </w:tcPr>
          <w:p w14:paraId="3DD2BCC2">
            <w:pPr>
              <w:jc w:val="center"/>
              <w:rPr>
                <w:rFonts w:hint="eastAsia" w:ascii="宋体" w:hAnsi="宋体"/>
                <w:color w:val="auto"/>
                <w:szCs w:val="21"/>
              </w:rPr>
            </w:pPr>
            <w:r>
              <w:rPr>
                <w:rFonts w:hint="eastAsia" w:ascii="宋体" w:hAnsi="宋体"/>
                <w:color w:val="auto"/>
                <w:szCs w:val="21"/>
              </w:rPr>
              <w:t>长期工作环境温度</w:t>
            </w:r>
          </w:p>
        </w:tc>
        <w:tc>
          <w:tcPr>
            <w:tcW w:w="2376" w:type="dxa"/>
            <w:vAlign w:val="center"/>
          </w:tcPr>
          <w:p w14:paraId="3E76AC0B">
            <w:pPr>
              <w:rPr>
                <w:rFonts w:hint="eastAsia" w:ascii="宋体" w:hAnsi="宋体"/>
                <w:color w:val="auto"/>
                <w:szCs w:val="21"/>
              </w:rPr>
            </w:pPr>
            <w:r>
              <w:rPr>
                <w:rFonts w:ascii="宋体" w:hAnsi="宋体" w:cs="宋体"/>
                <w:color w:val="auto"/>
                <w:sz w:val="24"/>
              </w:rPr>
              <w:t>10℃～35℃</w:t>
            </w:r>
          </w:p>
        </w:tc>
        <w:tc>
          <w:tcPr>
            <w:tcW w:w="2127" w:type="dxa"/>
            <w:vAlign w:val="center"/>
          </w:tcPr>
          <w:p w14:paraId="2B72F308">
            <w:pPr>
              <w:spacing w:line="360" w:lineRule="auto"/>
              <w:jc w:val="center"/>
              <w:rPr>
                <w:rFonts w:hint="eastAsia" w:ascii="宋体" w:hAnsi="宋体"/>
                <w:color w:val="auto"/>
                <w:sz w:val="24"/>
              </w:rPr>
            </w:pPr>
          </w:p>
        </w:tc>
        <w:tc>
          <w:tcPr>
            <w:tcW w:w="1885" w:type="dxa"/>
            <w:vAlign w:val="center"/>
          </w:tcPr>
          <w:p w14:paraId="2DC38BC1">
            <w:pPr>
              <w:spacing w:line="360" w:lineRule="auto"/>
              <w:jc w:val="center"/>
              <w:rPr>
                <w:rFonts w:hint="eastAsia" w:ascii="宋体" w:hAnsi="宋体"/>
                <w:color w:val="auto"/>
                <w:sz w:val="24"/>
              </w:rPr>
            </w:pPr>
          </w:p>
        </w:tc>
      </w:tr>
      <w:tr w14:paraId="71A4EF0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02D590A1">
            <w:pPr>
              <w:rPr>
                <w:rFonts w:hint="eastAsia" w:ascii="宋体" w:hAnsi="宋体"/>
                <w:color w:val="auto"/>
                <w:szCs w:val="21"/>
              </w:rPr>
            </w:pPr>
            <w:r>
              <w:rPr>
                <w:rFonts w:hint="eastAsia" w:ascii="宋体" w:hAnsi="宋体"/>
                <w:color w:val="auto"/>
                <w:szCs w:val="21"/>
              </w:rPr>
              <w:t>2</w:t>
            </w:r>
          </w:p>
        </w:tc>
        <w:tc>
          <w:tcPr>
            <w:tcW w:w="1964" w:type="dxa"/>
            <w:vAlign w:val="center"/>
          </w:tcPr>
          <w:p w14:paraId="4E87FFE4">
            <w:pPr>
              <w:jc w:val="center"/>
              <w:rPr>
                <w:rFonts w:hint="eastAsia" w:ascii="宋体" w:hAnsi="宋体"/>
                <w:color w:val="auto"/>
                <w:szCs w:val="21"/>
              </w:rPr>
            </w:pPr>
            <w:r>
              <w:rPr>
                <w:rFonts w:hint="eastAsia" w:ascii="宋体" w:hAnsi="宋体"/>
                <w:color w:val="auto"/>
                <w:szCs w:val="21"/>
              </w:rPr>
              <w:t>存储温度</w:t>
            </w:r>
          </w:p>
        </w:tc>
        <w:tc>
          <w:tcPr>
            <w:tcW w:w="2376" w:type="dxa"/>
            <w:vAlign w:val="center"/>
          </w:tcPr>
          <w:p w14:paraId="2AE40A3A">
            <w:pPr>
              <w:rPr>
                <w:rFonts w:hint="eastAsia" w:ascii="宋体" w:hAnsi="宋体"/>
                <w:color w:val="auto"/>
                <w:szCs w:val="21"/>
              </w:rPr>
            </w:pPr>
            <w:r>
              <w:rPr>
                <w:rFonts w:hint="eastAsia"/>
                <w:color w:val="auto"/>
                <w:sz w:val="24"/>
              </w:rPr>
              <w:t>0</w:t>
            </w:r>
            <w:r>
              <w:rPr>
                <w:rFonts w:ascii="宋体" w:hAnsi="宋体"/>
                <w:color w:val="auto"/>
                <w:sz w:val="24"/>
              </w:rPr>
              <w:t>℃</w:t>
            </w:r>
            <w:r>
              <w:rPr>
                <w:rFonts w:hAnsi="宋体"/>
                <w:color w:val="auto"/>
                <w:sz w:val="24"/>
              </w:rPr>
              <w:t>～</w:t>
            </w:r>
            <w:r>
              <w:rPr>
                <w:color w:val="auto"/>
                <w:sz w:val="24"/>
              </w:rPr>
              <w:t>55</w:t>
            </w:r>
            <w:r>
              <w:rPr>
                <w:rFonts w:ascii="宋体" w:hAnsi="宋体"/>
                <w:color w:val="auto"/>
                <w:sz w:val="24"/>
              </w:rPr>
              <w:t>℃</w:t>
            </w:r>
          </w:p>
        </w:tc>
        <w:tc>
          <w:tcPr>
            <w:tcW w:w="2127" w:type="dxa"/>
            <w:vAlign w:val="center"/>
          </w:tcPr>
          <w:p w14:paraId="49CD27B8">
            <w:pPr>
              <w:spacing w:line="360" w:lineRule="auto"/>
              <w:jc w:val="center"/>
              <w:rPr>
                <w:rFonts w:hint="eastAsia" w:ascii="宋体" w:hAnsi="宋体"/>
                <w:color w:val="auto"/>
                <w:szCs w:val="21"/>
              </w:rPr>
            </w:pPr>
          </w:p>
        </w:tc>
        <w:tc>
          <w:tcPr>
            <w:tcW w:w="1885" w:type="dxa"/>
            <w:vAlign w:val="center"/>
          </w:tcPr>
          <w:p w14:paraId="3A003015">
            <w:pPr>
              <w:spacing w:line="360" w:lineRule="auto"/>
              <w:jc w:val="center"/>
              <w:rPr>
                <w:rFonts w:hint="eastAsia" w:ascii="宋体" w:hAnsi="宋体"/>
                <w:color w:val="auto"/>
                <w:sz w:val="24"/>
              </w:rPr>
            </w:pPr>
          </w:p>
        </w:tc>
      </w:tr>
      <w:tr w14:paraId="3E9DF92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31F9967B">
            <w:pPr>
              <w:rPr>
                <w:rFonts w:hint="eastAsia" w:ascii="宋体" w:hAnsi="宋体"/>
                <w:color w:val="auto"/>
                <w:szCs w:val="21"/>
              </w:rPr>
            </w:pPr>
            <w:r>
              <w:rPr>
                <w:rFonts w:hint="eastAsia" w:ascii="宋体" w:hAnsi="宋体"/>
                <w:color w:val="auto"/>
                <w:szCs w:val="21"/>
              </w:rPr>
              <w:t>3</w:t>
            </w:r>
          </w:p>
        </w:tc>
        <w:tc>
          <w:tcPr>
            <w:tcW w:w="1964" w:type="dxa"/>
            <w:vAlign w:val="center"/>
          </w:tcPr>
          <w:p w14:paraId="4D2A1DE1">
            <w:pPr>
              <w:jc w:val="center"/>
              <w:rPr>
                <w:rFonts w:hint="eastAsia" w:ascii="宋体" w:hAnsi="宋体"/>
                <w:color w:val="auto"/>
                <w:szCs w:val="21"/>
              </w:rPr>
            </w:pPr>
            <w:r>
              <w:rPr>
                <w:rFonts w:hint="eastAsia" w:ascii="宋体" w:hAnsi="宋体"/>
                <w:color w:val="auto"/>
                <w:szCs w:val="21"/>
              </w:rPr>
              <w:t>长期工作环境相对湿度</w:t>
            </w:r>
          </w:p>
        </w:tc>
        <w:tc>
          <w:tcPr>
            <w:tcW w:w="2376" w:type="dxa"/>
            <w:vAlign w:val="center"/>
          </w:tcPr>
          <w:p w14:paraId="33F1C621">
            <w:pPr>
              <w:rPr>
                <w:rFonts w:hint="eastAsia" w:ascii="宋体" w:hAnsi="宋体"/>
                <w:color w:val="auto"/>
                <w:szCs w:val="21"/>
              </w:rPr>
            </w:pPr>
            <w:r>
              <w:rPr>
                <w:rFonts w:ascii="宋体" w:hAnsi="宋体" w:cs="宋体"/>
                <w:color w:val="auto"/>
                <w:sz w:val="24"/>
              </w:rPr>
              <w:t>35%～80%</w:t>
            </w:r>
          </w:p>
        </w:tc>
        <w:tc>
          <w:tcPr>
            <w:tcW w:w="2127" w:type="dxa"/>
            <w:vAlign w:val="center"/>
          </w:tcPr>
          <w:p w14:paraId="012EA116">
            <w:pPr>
              <w:spacing w:line="360" w:lineRule="auto"/>
              <w:jc w:val="center"/>
              <w:rPr>
                <w:rFonts w:hint="eastAsia" w:ascii="宋体" w:hAnsi="宋体"/>
                <w:color w:val="auto"/>
                <w:sz w:val="24"/>
              </w:rPr>
            </w:pPr>
          </w:p>
        </w:tc>
        <w:tc>
          <w:tcPr>
            <w:tcW w:w="1885" w:type="dxa"/>
            <w:vAlign w:val="center"/>
          </w:tcPr>
          <w:p w14:paraId="12691396">
            <w:pPr>
              <w:spacing w:line="360" w:lineRule="auto"/>
              <w:jc w:val="center"/>
              <w:rPr>
                <w:rFonts w:hint="eastAsia" w:ascii="宋体" w:hAnsi="宋体"/>
                <w:color w:val="auto"/>
                <w:sz w:val="24"/>
              </w:rPr>
            </w:pPr>
          </w:p>
        </w:tc>
      </w:tr>
      <w:tr w14:paraId="7C55335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45106E03">
            <w:pPr>
              <w:rPr>
                <w:rFonts w:hint="eastAsia" w:ascii="宋体" w:hAnsi="宋体"/>
                <w:color w:val="auto"/>
                <w:szCs w:val="21"/>
              </w:rPr>
            </w:pPr>
            <w:r>
              <w:rPr>
                <w:rFonts w:hint="eastAsia" w:ascii="宋体" w:hAnsi="宋体"/>
                <w:color w:val="auto"/>
                <w:szCs w:val="21"/>
              </w:rPr>
              <w:t>4</w:t>
            </w:r>
          </w:p>
        </w:tc>
        <w:tc>
          <w:tcPr>
            <w:tcW w:w="1964" w:type="dxa"/>
            <w:vAlign w:val="center"/>
          </w:tcPr>
          <w:p w14:paraId="2C1E195C">
            <w:pPr>
              <w:jc w:val="center"/>
              <w:rPr>
                <w:rFonts w:hint="eastAsia" w:ascii="宋体" w:hAnsi="宋体"/>
                <w:color w:val="auto"/>
                <w:szCs w:val="21"/>
              </w:rPr>
            </w:pPr>
            <w:r>
              <w:rPr>
                <w:rFonts w:hint="eastAsia" w:ascii="宋体" w:hAnsi="宋体"/>
                <w:color w:val="auto"/>
                <w:szCs w:val="21"/>
              </w:rPr>
              <w:t>存储相对湿度</w:t>
            </w:r>
          </w:p>
        </w:tc>
        <w:tc>
          <w:tcPr>
            <w:tcW w:w="2376" w:type="dxa"/>
            <w:vAlign w:val="center"/>
          </w:tcPr>
          <w:p w14:paraId="6A1E3398">
            <w:pPr>
              <w:rPr>
                <w:rFonts w:hint="eastAsia" w:ascii="宋体" w:hAnsi="宋体"/>
                <w:color w:val="auto"/>
                <w:szCs w:val="21"/>
              </w:rPr>
            </w:pPr>
            <w:r>
              <w:rPr>
                <w:rFonts w:ascii="宋体" w:hAnsi="宋体" w:cs="宋体"/>
                <w:color w:val="auto"/>
                <w:sz w:val="24"/>
              </w:rPr>
              <w:t>10%～</w:t>
            </w:r>
            <w:r>
              <w:rPr>
                <w:rFonts w:hint="eastAsia" w:ascii="宋体" w:hAnsi="宋体" w:cs="宋体"/>
                <w:color w:val="auto"/>
                <w:sz w:val="24"/>
              </w:rPr>
              <w:t>9</w:t>
            </w:r>
            <w:r>
              <w:rPr>
                <w:rFonts w:ascii="宋体" w:hAnsi="宋体" w:cs="宋体"/>
                <w:color w:val="auto"/>
                <w:sz w:val="24"/>
              </w:rPr>
              <w:t>5%</w:t>
            </w:r>
          </w:p>
        </w:tc>
        <w:tc>
          <w:tcPr>
            <w:tcW w:w="2127" w:type="dxa"/>
            <w:vAlign w:val="center"/>
          </w:tcPr>
          <w:p w14:paraId="6A4FCC53">
            <w:pPr>
              <w:spacing w:line="360" w:lineRule="auto"/>
              <w:jc w:val="center"/>
              <w:rPr>
                <w:rFonts w:hint="eastAsia" w:ascii="宋体" w:hAnsi="宋体"/>
                <w:color w:val="auto"/>
                <w:sz w:val="24"/>
              </w:rPr>
            </w:pPr>
          </w:p>
        </w:tc>
        <w:tc>
          <w:tcPr>
            <w:tcW w:w="1885" w:type="dxa"/>
            <w:vAlign w:val="center"/>
          </w:tcPr>
          <w:p w14:paraId="362D0415">
            <w:pPr>
              <w:spacing w:line="360" w:lineRule="auto"/>
              <w:jc w:val="center"/>
              <w:rPr>
                <w:rFonts w:hint="eastAsia" w:ascii="宋体" w:hAnsi="宋体"/>
                <w:color w:val="auto"/>
                <w:sz w:val="24"/>
              </w:rPr>
            </w:pPr>
          </w:p>
        </w:tc>
      </w:tr>
      <w:tr w14:paraId="31E14E6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68A0CAA8">
            <w:pPr>
              <w:rPr>
                <w:rFonts w:hint="eastAsia" w:ascii="宋体" w:hAnsi="宋体"/>
                <w:color w:val="auto"/>
                <w:szCs w:val="21"/>
              </w:rPr>
            </w:pPr>
            <w:r>
              <w:rPr>
                <w:rFonts w:hint="eastAsia" w:ascii="宋体" w:hAnsi="宋体"/>
                <w:color w:val="auto"/>
                <w:szCs w:val="21"/>
              </w:rPr>
              <w:t>5</w:t>
            </w:r>
          </w:p>
        </w:tc>
        <w:tc>
          <w:tcPr>
            <w:tcW w:w="1964" w:type="dxa"/>
            <w:vAlign w:val="center"/>
          </w:tcPr>
          <w:p w14:paraId="0F352A07">
            <w:pPr>
              <w:jc w:val="center"/>
              <w:rPr>
                <w:rFonts w:hint="eastAsia" w:ascii="宋体" w:hAnsi="宋体"/>
                <w:color w:val="auto"/>
                <w:szCs w:val="21"/>
              </w:rPr>
            </w:pPr>
            <w:r>
              <w:rPr>
                <w:rFonts w:hint="eastAsia" w:ascii="宋体" w:hAnsi="宋体"/>
                <w:color w:val="auto"/>
                <w:szCs w:val="21"/>
              </w:rPr>
              <w:t>长期工作海拔高度</w:t>
            </w:r>
          </w:p>
        </w:tc>
        <w:tc>
          <w:tcPr>
            <w:tcW w:w="2376" w:type="dxa"/>
            <w:vAlign w:val="center"/>
          </w:tcPr>
          <w:p w14:paraId="2BB0ECD2">
            <w:pPr>
              <w:rPr>
                <w:rFonts w:hint="eastAsia" w:ascii="宋体" w:hAnsi="宋体"/>
                <w:color w:val="auto"/>
                <w:szCs w:val="21"/>
              </w:rPr>
            </w:pPr>
            <w:r>
              <w:rPr>
                <w:rFonts w:ascii="宋体" w:hAnsi="宋体" w:cs="宋体"/>
                <w:color w:val="auto"/>
                <w:sz w:val="24"/>
              </w:rPr>
              <w:t>0m～1000m</w:t>
            </w:r>
          </w:p>
        </w:tc>
        <w:tc>
          <w:tcPr>
            <w:tcW w:w="2127" w:type="dxa"/>
            <w:vAlign w:val="center"/>
          </w:tcPr>
          <w:p w14:paraId="159CE6AC">
            <w:pPr>
              <w:spacing w:line="360" w:lineRule="auto"/>
              <w:jc w:val="center"/>
              <w:rPr>
                <w:rFonts w:hint="eastAsia" w:ascii="宋体" w:hAnsi="宋体"/>
                <w:color w:val="auto"/>
                <w:sz w:val="24"/>
              </w:rPr>
            </w:pPr>
          </w:p>
        </w:tc>
        <w:tc>
          <w:tcPr>
            <w:tcW w:w="1885" w:type="dxa"/>
            <w:vAlign w:val="center"/>
          </w:tcPr>
          <w:p w14:paraId="33C2A9E8">
            <w:pPr>
              <w:spacing w:line="360" w:lineRule="auto"/>
              <w:jc w:val="center"/>
              <w:rPr>
                <w:rFonts w:hint="eastAsia" w:ascii="宋体" w:hAnsi="宋体"/>
                <w:color w:val="auto"/>
                <w:sz w:val="24"/>
              </w:rPr>
            </w:pPr>
          </w:p>
        </w:tc>
      </w:tr>
      <w:tr w14:paraId="4A797F0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jc w:val="center"/>
        </w:trPr>
        <w:tc>
          <w:tcPr>
            <w:tcW w:w="432" w:type="dxa"/>
          </w:tcPr>
          <w:p w14:paraId="70873BF4">
            <w:pPr>
              <w:rPr>
                <w:rFonts w:hint="eastAsia" w:ascii="宋体" w:hAnsi="宋体"/>
                <w:color w:val="auto"/>
                <w:szCs w:val="21"/>
              </w:rPr>
            </w:pPr>
            <w:r>
              <w:rPr>
                <w:rFonts w:hint="eastAsia" w:ascii="宋体" w:hAnsi="宋体"/>
                <w:color w:val="auto"/>
                <w:szCs w:val="21"/>
              </w:rPr>
              <w:t>6</w:t>
            </w:r>
          </w:p>
        </w:tc>
        <w:tc>
          <w:tcPr>
            <w:tcW w:w="1964" w:type="dxa"/>
            <w:vAlign w:val="center"/>
          </w:tcPr>
          <w:p w14:paraId="46D554FC">
            <w:pPr>
              <w:jc w:val="center"/>
              <w:rPr>
                <w:rFonts w:hint="eastAsia" w:ascii="宋体" w:hAnsi="宋体"/>
                <w:color w:val="auto"/>
                <w:szCs w:val="21"/>
              </w:rPr>
            </w:pPr>
            <w:r>
              <w:rPr>
                <w:rFonts w:hint="eastAsia" w:ascii="宋体" w:hAnsi="宋体"/>
                <w:color w:val="auto"/>
                <w:szCs w:val="21"/>
              </w:rPr>
              <w:t>存储海拔高度</w:t>
            </w:r>
          </w:p>
        </w:tc>
        <w:tc>
          <w:tcPr>
            <w:tcW w:w="2376" w:type="dxa"/>
            <w:vAlign w:val="center"/>
          </w:tcPr>
          <w:p w14:paraId="43904F99">
            <w:pPr>
              <w:rPr>
                <w:rFonts w:hint="eastAsia" w:ascii="宋体" w:hAnsi="宋体"/>
                <w:color w:val="auto"/>
                <w:szCs w:val="21"/>
              </w:rPr>
            </w:pPr>
            <w:r>
              <w:rPr>
                <w:rFonts w:ascii="宋体" w:hAnsi="宋体" w:cs="宋体"/>
                <w:color w:val="auto"/>
                <w:sz w:val="24"/>
              </w:rPr>
              <w:t>0m～1000m</w:t>
            </w:r>
          </w:p>
        </w:tc>
        <w:tc>
          <w:tcPr>
            <w:tcW w:w="2127" w:type="dxa"/>
            <w:vAlign w:val="center"/>
          </w:tcPr>
          <w:p w14:paraId="1D7BDCAC">
            <w:pPr>
              <w:spacing w:line="360" w:lineRule="auto"/>
              <w:jc w:val="center"/>
              <w:rPr>
                <w:rFonts w:hint="eastAsia" w:ascii="宋体" w:hAnsi="宋体"/>
                <w:color w:val="auto"/>
                <w:sz w:val="24"/>
              </w:rPr>
            </w:pPr>
          </w:p>
        </w:tc>
        <w:tc>
          <w:tcPr>
            <w:tcW w:w="1885" w:type="dxa"/>
            <w:vAlign w:val="center"/>
          </w:tcPr>
          <w:p w14:paraId="61D7C45E">
            <w:pPr>
              <w:spacing w:line="360" w:lineRule="auto"/>
              <w:jc w:val="center"/>
              <w:rPr>
                <w:rFonts w:hint="eastAsia" w:ascii="宋体" w:hAnsi="宋体"/>
                <w:color w:val="auto"/>
                <w:sz w:val="24"/>
              </w:rPr>
            </w:pPr>
          </w:p>
        </w:tc>
      </w:tr>
    </w:tbl>
    <w:p w14:paraId="78D34AB1">
      <w:pPr>
        <w:rPr>
          <w:rFonts w:hint="eastAsia"/>
        </w:rPr>
      </w:pPr>
    </w:p>
    <w:p w14:paraId="6DA829B1">
      <w:pPr>
        <w:pStyle w:val="4"/>
        <w:numPr>
          <w:ilvl w:val="0"/>
          <w:numId w:val="4"/>
        </w:numPr>
        <w:spacing w:before="0" w:after="0" w:line="360" w:lineRule="auto"/>
        <w:rPr>
          <w:rFonts w:hint="eastAsia" w:ascii="宋体" w:hAnsi="宋体" w:cs="宋体"/>
          <w:kern w:val="0"/>
          <w:sz w:val="24"/>
          <w:szCs w:val="24"/>
        </w:rPr>
      </w:pPr>
      <w:bookmarkStart w:id="37" w:name="_Toc24394"/>
      <w:r>
        <w:rPr>
          <w:rFonts w:hint="eastAsia" w:ascii="宋体" w:hAnsi="宋体" w:cs="宋体"/>
          <w:kern w:val="0"/>
          <w:sz w:val="24"/>
          <w:szCs w:val="24"/>
        </w:rPr>
        <w:t>技术要求</w:t>
      </w:r>
      <w:bookmarkEnd w:id="37"/>
    </w:p>
    <w:p w14:paraId="2A32D169">
      <w:pPr>
        <w:numPr>
          <w:ilvl w:val="1"/>
          <w:numId w:val="4"/>
        </w:numPr>
        <w:adjustRightInd w:val="0"/>
        <w:spacing w:line="360" w:lineRule="auto"/>
        <w:ind w:left="0" w:firstLine="0"/>
        <w:outlineLvl w:val="1"/>
        <w:rPr>
          <w:rFonts w:hint="eastAsia" w:ascii="宋体" w:hAnsi="宋体" w:cs="宋体"/>
          <w:sz w:val="24"/>
        </w:rPr>
      </w:pPr>
      <w:bookmarkStart w:id="38" w:name="_Toc283566853"/>
      <w:bookmarkStart w:id="39" w:name="_Toc277597176"/>
      <w:bookmarkStart w:id="40" w:name="_Toc16095"/>
      <w:r>
        <w:rPr>
          <w:rFonts w:hint="eastAsia" w:ascii="宋体" w:hAnsi="宋体" w:cs="宋体"/>
          <w:sz w:val="24"/>
        </w:rPr>
        <w:t>设备技术要求</w:t>
      </w:r>
      <w:bookmarkEnd w:id="38"/>
      <w:bookmarkEnd w:id="39"/>
      <w:bookmarkEnd w:id="40"/>
    </w:p>
    <w:p w14:paraId="3CEE64B1">
      <w:pPr>
        <w:keepNext w:val="0"/>
        <w:keepLines w:val="0"/>
        <w:pageBreakBefore w:val="0"/>
        <w:widowControl w:val="0"/>
        <w:numPr>
          <w:ilvl w:val="2"/>
          <w:numId w:val="4"/>
        </w:numPr>
        <w:kinsoku/>
        <w:wordWrap/>
        <w:overflowPunct/>
        <w:topLinePunct w:val="0"/>
        <w:autoSpaceDE/>
        <w:autoSpaceDN/>
        <w:bidi w:val="0"/>
        <w:adjustRightInd w:val="0"/>
        <w:snapToGrid/>
        <w:spacing w:line="360" w:lineRule="auto"/>
        <w:ind w:left="0" w:leftChars="0" w:firstLine="0" w:firstLineChars="0"/>
        <w:textAlignment w:val="auto"/>
        <w:outlineLvl w:val="2"/>
        <w:rPr>
          <w:rFonts w:hint="eastAsia" w:ascii="宋体" w:hAnsi="宋体" w:cs="宋体"/>
          <w:sz w:val="24"/>
        </w:rPr>
      </w:pPr>
      <w:r>
        <w:rPr>
          <w:rFonts w:hint="eastAsia" w:ascii="宋体" w:hAnsi="宋体" w:cs="宋体"/>
          <w:sz w:val="24"/>
        </w:rPr>
        <w:t>设备基本要求</w:t>
      </w:r>
    </w:p>
    <w:p w14:paraId="4CB6DF7E">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color w:val="auto"/>
          <w:szCs w:val="21"/>
        </w:rPr>
      </w:pPr>
      <w:r>
        <w:rPr>
          <w:rFonts w:ascii="宋体" w:hAnsi="宋体"/>
          <w:color w:val="auto"/>
          <w:sz w:val="24"/>
        </w:rPr>
        <w:t>设备</w:t>
      </w:r>
      <w:r>
        <w:rPr>
          <w:rFonts w:hint="eastAsia" w:ascii="宋体" w:hAnsi="宋体"/>
          <w:color w:val="auto"/>
          <w:sz w:val="24"/>
        </w:rPr>
        <w:t>及全部配件</w:t>
      </w:r>
      <w:r>
        <w:rPr>
          <w:rFonts w:ascii="宋体" w:hAnsi="宋体"/>
          <w:color w:val="auto"/>
          <w:sz w:val="24"/>
        </w:rPr>
        <w:t>必须</w:t>
      </w:r>
      <w:r>
        <w:rPr>
          <w:rFonts w:hint="eastAsia" w:ascii="宋体" w:hAnsi="宋体"/>
          <w:color w:val="auto"/>
          <w:sz w:val="24"/>
        </w:rPr>
        <w:t>为</w:t>
      </w:r>
      <w:r>
        <w:rPr>
          <w:rFonts w:ascii="宋体" w:hAnsi="宋体"/>
          <w:color w:val="auto"/>
          <w:sz w:val="24"/>
        </w:rPr>
        <w:t>全新的、持久耐用的</w:t>
      </w:r>
      <w:r>
        <w:rPr>
          <w:rFonts w:hint="eastAsia" w:ascii="宋体" w:hAnsi="宋体"/>
          <w:color w:val="auto"/>
          <w:sz w:val="24"/>
        </w:rPr>
        <w:t>产品</w:t>
      </w:r>
      <w:r>
        <w:rPr>
          <w:rFonts w:ascii="宋体" w:hAnsi="宋体"/>
          <w:color w:val="auto"/>
          <w:sz w:val="24"/>
        </w:rPr>
        <w:t>。即使在本</w:t>
      </w:r>
      <w:r>
        <w:rPr>
          <w:rFonts w:hint="eastAsia" w:ascii="宋体" w:hAnsi="宋体"/>
          <w:color w:val="auto"/>
          <w:sz w:val="24"/>
        </w:rPr>
        <w:t>技术规范书</w:t>
      </w:r>
      <w:r>
        <w:rPr>
          <w:rFonts w:ascii="宋体" w:hAnsi="宋体"/>
          <w:color w:val="auto"/>
          <w:sz w:val="24"/>
        </w:rPr>
        <w:t>中没有</w:t>
      </w:r>
      <w:r>
        <w:rPr>
          <w:rFonts w:hint="eastAsia" w:ascii="宋体" w:hAnsi="宋体"/>
          <w:color w:val="auto"/>
          <w:sz w:val="24"/>
        </w:rPr>
        <w:t>明确</w:t>
      </w:r>
      <w:r>
        <w:rPr>
          <w:rFonts w:ascii="宋体" w:hAnsi="宋体"/>
          <w:color w:val="auto"/>
          <w:sz w:val="24"/>
        </w:rPr>
        <w:t>地提出,也应满足作为一个完整产品一般所能满足的全部要求。</w:t>
      </w:r>
      <w:r>
        <w:rPr>
          <w:rFonts w:hint="eastAsia" w:ascii="宋体" w:hAnsi="宋体"/>
          <w:color w:val="auto"/>
          <w:sz w:val="24"/>
        </w:rPr>
        <w:t>同时，可根据系统、测试对象性能的要求并随着</w:t>
      </w:r>
      <w:r>
        <w:rPr>
          <w:rFonts w:ascii="宋体" w:hAnsi="宋体"/>
          <w:color w:val="auto"/>
          <w:sz w:val="24"/>
        </w:rPr>
        <w:t>IT</w:t>
      </w:r>
      <w:r>
        <w:rPr>
          <w:rFonts w:hint="eastAsia" w:ascii="宋体" w:hAnsi="宋体"/>
          <w:color w:val="auto"/>
          <w:sz w:val="24"/>
        </w:rPr>
        <w:t>技</w:t>
      </w:r>
      <w:r>
        <w:rPr>
          <w:rFonts w:ascii="宋体" w:hAnsi="宋体"/>
          <w:color w:val="auto"/>
          <w:sz w:val="24"/>
        </w:rPr>
        <w:t>术</w:t>
      </w:r>
      <w:r>
        <w:rPr>
          <w:rFonts w:hint="eastAsia" w:ascii="宋体" w:hAnsi="宋体"/>
          <w:color w:val="auto"/>
          <w:sz w:val="24"/>
        </w:rPr>
        <w:t>发展，可提供持续的软件开发和硬件的升级</w:t>
      </w:r>
      <w:r>
        <w:rPr>
          <w:rFonts w:hint="eastAsia" w:ascii="宋体" w:hAnsi="宋体"/>
          <w:color w:val="auto"/>
          <w:szCs w:val="21"/>
        </w:rPr>
        <w:t>。</w:t>
      </w:r>
    </w:p>
    <w:p w14:paraId="22283C21">
      <w:pPr>
        <w:keepNext w:val="0"/>
        <w:keepLines w:val="0"/>
        <w:pageBreakBefore w:val="0"/>
        <w:widowControl w:val="0"/>
        <w:numPr>
          <w:ilvl w:val="2"/>
          <w:numId w:val="4"/>
        </w:numPr>
        <w:kinsoku/>
        <w:wordWrap/>
        <w:overflowPunct/>
        <w:topLinePunct w:val="0"/>
        <w:autoSpaceDE/>
        <w:autoSpaceDN/>
        <w:bidi w:val="0"/>
        <w:adjustRightInd w:val="0"/>
        <w:snapToGrid/>
        <w:spacing w:line="360" w:lineRule="auto"/>
        <w:ind w:left="0" w:leftChars="0" w:firstLine="0" w:firstLineChars="0"/>
        <w:textAlignment w:val="auto"/>
        <w:outlineLvl w:val="2"/>
        <w:rPr>
          <w:rFonts w:hint="eastAsia" w:ascii="宋体" w:hAnsi="宋体" w:cs="宋体"/>
          <w:sz w:val="24"/>
        </w:rPr>
      </w:pPr>
      <w:r>
        <w:rPr>
          <w:rFonts w:hint="eastAsia" w:ascii="宋体" w:hAnsi="宋体" w:cs="宋体"/>
          <w:sz w:val="24"/>
        </w:rPr>
        <w:t>设备结构要求</w:t>
      </w:r>
    </w:p>
    <w:p w14:paraId="3D40427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olor w:val="auto"/>
          <w:sz w:val="24"/>
        </w:rPr>
      </w:pPr>
      <w:r>
        <w:rPr>
          <w:rFonts w:hint="eastAsia" w:ascii="宋体" w:hAnsi="宋体" w:eastAsia="宋体"/>
          <w:color w:val="auto"/>
          <w:sz w:val="24"/>
        </w:rPr>
        <w:t>无要求。</w:t>
      </w:r>
    </w:p>
    <w:p w14:paraId="3D3C8948">
      <w:pPr>
        <w:numPr>
          <w:ilvl w:val="1"/>
          <w:numId w:val="4"/>
        </w:numPr>
        <w:adjustRightInd w:val="0"/>
        <w:spacing w:line="360" w:lineRule="auto"/>
        <w:ind w:left="0" w:firstLine="0"/>
        <w:outlineLvl w:val="1"/>
        <w:rPr>
          <w:rFonts w:hint="eastAsia" w:ascii="宋体" w:hAnsi="宋体" w:cs="宋体"/>
          <w:sz w:val="24"/>
        </w:rPr>
      </w:pPr>
      <w:bookmarkStart w:id="41" w:name="_Toc2674"/>
      <w:r>
        <w:rPr>
          <w:rFonts w:hint="eastAsia" w:ascii="宋体" w:hAnsi="宋体" w:cs="宋体"/>
          <w:sz w:val="24"/>
        </w:rPr>
        <w:t>设备技术参数和性能要求</w:t>
      </w:r>
      <w:bookmarkEnd w:id="41"/>
    </w:p>
    <w:p w14:paraId="7D98308A">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olor w:val="auto"/>
          <w:sz w:val="24"/>
        </w:rPr>
      </w:pPr>
      <w:r>
        <w:rPr>
          <w:rFonts w:hint="eastAsia" w:ascii="宋体" w:hAnsi="宋体"/>
          <w:color w:val="auto"/>
          <w:sz w:val="24"/>
          <w:lang w:eastAsia="zh-CN"/>
        </w:rPr>
        <w:t>报价人</w:t>
      </w:r>
      <w:r>
        <w:rPr>
          <w:rFonts w:hint="eastAsia" w:ascii="宋体" w:hAnsi="宋体" w:eastAsia="宋体"/>
          <w:color w:val="auto"/>
          <w:sz w:val="24"/>
        </w:rPr>
        <w:t>应认真逐项填写所供设备技术参数和性能要求（</w:t>
      </w:r>
      <w:r>
        <w:rPr>
          <w:rFonts w:hint="eastAsia" w:ascii="宋体" w:hAnsi="宋体" w:eastAsia="宋体"/>
          <w:color w:val="auto"/>
          <w:sz w:val="24"/>
          <w:lang w:val="en-US" w:eastAsia="zh-CN"/>
        </w:rPr>
        <w:t>详见下文</w:t>
      </w:r>
      <w:r>
        <w:rPr>
          <w:rFonts w:hint="eastAsia" w:ascii="宋体" w:hAnsi="宋体" w:eastAsia="宋体"/>
          <w:color w:val="auto"/>
          <w:sz w:val="24"/>
        </w:rPr>
        <w:t>）</w:t>
      </w:r>
      <w:r>
        <w:rPr>
          <w:rFonts w:hint="eastAsia" w:ascii="宋体" w:hAnsi="宋体" w:eastAsia="宋体"/>
          <w:color w:val="auto"/>
          <w:sz w:val="24"/>
          <w:lang w:eastAsia="zh-CN"/>
        </w:rPr>
        <w:t>，</w:t>
      </w:r>
      <w:r>
        <w:rPr>
          <w:rFonts w:hint="eastAsia" w:ascii="宋体" w:hAnsi="宋体" w:eastAsia="宋体"/>
          <w:color w:val="auto"/>
          <w:sz w:val="24"/>
        </w:rPr>
        <w:t>标注“★”的条款为关键条款，</w:t>
      </w:r>
      <w:r>
        <w:rPr>
          <w:rFonts w:hint="eastAsia" w:ascii="宋体" w:hAnsi="宋体"/>
          <w:color w:val="auto"/>
          <w:sz w:val="24"/>
          <w:lang w:eastAsia="zh-CN"/>
        </w:rPr>
        <w:t>报价人</w:t>
      </w:r>
      <w:r>
        <w:rPr>
          <w:rFonts w:hint="eastAsia" w:ascii="宋体" w:hAnsi="宋体" w:eastAsia="宋体"/>
          <w:color w:val="auto"/>
          <w:sz w:val="24"/>
        </w:rPr>
        <w:t>应出具相应技术资料证明达到条款和技术参数的要求，作为评标时</w:t>
      </w:r>
      <w:r>
        <w:rPr>
          <w:rFonts w:hint="eastAsia" w:ascii="宋体" w:hAnsi="宋体" w:eastAsia="宋体"/>
          <w:color w:val="auto"/>
          <w:sz w:val="24"/>
          <w:lang w:val="en-US" w:eastAsia="zh-CN"/>
        </w:rPr>
        <w:t>的否决项</w:t>
      </w:r>
      <w:r>
        <w:rPr>
          <w:rFonts w:hint="eastAsia" w:ascii="宋体" w:hAnsi="宋体" w:eastAsia="宋体"/>
          <w:color w:val="auto"/>
          <w:sz w:val="24"/>
        </w:rPr>
        <w:t>。</w:t>
      </w:r>
    </w:p>
    <w:p w14:paraId="1AD33AAF">
      <w:pPr>
        <w:keepNext w:val="0"/>
        <w:keepLines w:val="0"/>
        <w:pageBreakBefore w:val="0"/>
        <w:widowControl w:val="0"/>
        <w:numPr>
          <w:ilvl w:val="2"/>
          <w:numId w:val="4"/>
        </w:numPr>
        <w:kinsoku/>
        <w:wordWrap/>
        <w:overflowPunct/>
        <w:topLinePunct w:val="0"/>
        <w:autoSpaceDE/>
        <w:autoSpaceDN/>
        <w:bidi w:val="0"/>
        <w:adjustRightInd w:val="0"/>
        <w:snapToGrid/>
        <w:spacing w:line="360" w:lineRule="auto"/>
        <w:ind w:left="0" w:leftChars="0" w:firstLine="0" w:firstLineChars="0"/>
        <w:textAlignment w:val="auto"/>
        <w:outlineLvl w:val="2"/>
        <w:rPr>
          <w:rFonts w:hint="eastAsia" w:ascii="宋体" w:hAnsi="宋体" w:cs="宋体"/>
          <w:b/>
          <w:bCs/>
          <w:sz w:val="24"/>
        </w:rPr>
      </w:pPr>
      <w:r>
        <w:rPr>
          <w:rFonts w:hint="eastAsia" w:ascii="宋体" w:hAnsi="宋体" w:cs="宋体"/>
          <w:b/>
          <w:bCs/>
          <w:sz w:val="24"/>
          <w:lang w:val="en-US" w:eastAsia="zh-CN"/>
        </w:rPr>
        <w:t>日志审计系统</w:t>
      </w:r>
    </w:p>
    <w:tbl>
      <w:tblPr>
        <w:tblStyle w:val="24"/>
        <w:tblW w:w="9209" w:type="dxa"/>
        <w:tblInd w:w="113" w:type="dxa"/>
        <w:tblLayout w:type="autofit"/>
        <w:tblCellMar>
          <w:top w:w="0" w:type="dxa"/>
          <w:left w:w="108" w:type="dxa"/>
          <w:bottom w:w="0" w:type="dxa"/>
          <w:right w:w="108" w:type="dxa"/>
        </w:tblCellMar>
      </w:tblPr>
      <w:tblGrid>
        <w:gridCol w:w="846"/>
        <w:gridCol w:w="1276"/>
        <w:gridCol w:w="7087"/>
      </w:tblGrid>
      <w:tr w14:paraId="138070BF">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vAlign w:val="center"/>
          </w:tcPr>
          <w:p w14:paraId="4CDE1AC2">
            <w:pPr>
              <w:widowControl/>
              <w:jc w:val="center"/>
              <w:rPr>
                <w:rFonts w:hint="eastAsia" w:ascii="宋体" w:hAnsi="宋体" w:cs="宋体"/>
                <w:b/>
                <w:bCs/>
                <w:color w:val="auto"/>
                <w:kern w:val="0"/>
                <w:sz w:val="24"/>
              </w:rPr>
            </w:pPr>
            <w:r>
              <w:rPr>
                <w:rFonts w:hint="eastAsia" w:ascii="宋体" w:hAnsi="宋体" w:cs="宋体"/>
                <w:b/>
                <w:bCs/>
                <w:color w:val="auto"/>
                <w:kern w:val="0"/>
                <w:sz w:val="24"/>
              </w:rPr>
              <w:t>指标</w:t>
            </w:r>
          </w:p>
        </w:tc>
        <w:tc>
          <w:tcPr>
            <w:tcW w:w="1276" w:type="dxa"/>
            <w:tcBorders>
              <w:top w:val="single" w:color="auto" w:sz="4" w:space="0"/>
              <w:left w:val="nil"/>
              <w:bottom w:val="single" w:color="auto" w:sz="4" w:space="0"/>
              <w:right w:val="single" w:color="auto" w:sz="4" w:space="0"/>
            </w:tcBorders>
            <w:vAlign w:val="center"/>
          </w:tcPr>
          <w:p w14:paraId="4FB3AB05">
            <w:pPr>
              <w:widowControl/>
              <w:jc w:val="center"/>
              <w:rPr>
                <w:rFonts w:hint="eastAsia" w:ascii="宋体" w:hAnsi="宋体" w:cs="宋体"/>
                <w:b/>
                <w:bCs/>
                <w:color w:val="auto"/>
                <w:kern w:val="0"/>
                <w:sz w:val="24"/>
              </w:rPr>
            </w:pPr>
            <w:r>
              <w:rPr>
                <w:rFonts w:hint="eastAsia" w:ascii="宋体" w:hAnsi="宋体" w:cs="宋体"/>
                <w:b/>
                <w:bCs/>
                <w:color w:val="auto"/>
                <w:kern w:val="0"/>
                <w:sz w:val="24"/>
              </w:rPr>
              <w:t>类别</w:t>
            </w:r>
          </w:p>
        </w:tc>
        <w:tc>
          <w:tcPr>
            <w:tcW w:w="7087" w:type="dxa"/>
            <w:tcBorders>
              <w:top w:val="single" w:color="auto" w:sz="4" w:space="0"/>
              <w:left w:val="nil"/>
              <w:bottom w:val="single" w:color="auto" w:sz="4" w:space="0"/>
              <w:right w:val="single" w:color="auto" w:sz="4" w:space="0"/>
            </w:tcBorders>
            <w:vAlign w:val="center"/>
          </w:tcPr>
          <w:p w14:paraId="3F38F97B">
            <w:pPr>
              <w:widowControl/>
              <w:jc w:val="center"/>
              <w:rPr>
                <w:rFonts w:hint="eastAsia" w:ascii="宋体" w:hAnsi="宋体" w:cs="宋体"/>
                <w:b/>
                <w:bCs/>
                <w:color w:val="auto"/>
                <w:kern w:val="0"/>
                <w:sz w:val="24"/>
              </w:rPr>
            </w:pPr>
            <w:r>
              <w:rPr>
                <w:rFonts w:hint="eastAsia" w:ascii="宋体" w:hAnsi="宋体" w:cs="宋体"/>
                <w:b/>
                <w:bCs/>
                <w:color w:val="auto"/>
                <w:kern w:val="0"/>
                <w:sz w:val="24"/>
              </w:rPr>
              <w:t>技术要求说明</w:t>
            </w:r>
          </w:p>
        </w:tc>
      </w:tr>
      <w:tr w14:paraId="5634E03D">
        <w:tblPrEx>
          <w:tblCellMar>
            <w:top w:w="0" w:type="dxa"/>
            <w:left w:w="108" w:type="dxa"/>
            <w:bottom w:w="0" w:type="dxa"/>
            <w:right w:w="108" w:type="dxa"/>
          </w:tblCellMar>
        </w:tblPrEx>
        <w:trPr>
          <w:trHeight w:val="690" w:hRule="atLeast"/>
        </w:trPr>
        <w:tc>
          <w:tcPr>
            <w:tcW w:w="846" w:type="dxa"/>
            <w:vMerge w:val="restart"/>
            <w:tcBorders>
              <w:top w:val="nil"/>
              <w:left w:val="single" w:color="auto" w:sz="4" w:space="0"/>
              <w:bottom w:val="nil"/>
              <w:right w:val="single" w:color="auto" w:sz="4" w:space="0"/>
            </w:tcBorders>
            <w:vAlign w:val="center"/>
          </w:tcPr>
          <w:p w14:paraId="2AEC4AE4">
            <w:pPr>
              <w:widowControl/>
              <w:jc w:val="center"/>
              <w:rPr>
                <w:rFonts w:hint="eastAsia" w:ascii="宋体" w:hAnsi="宋体" w:cs="宋体"/>
                <w:color w:val="auto"/>
                <w:kern w:val="0"/>
                <w:sz w:val="24"/>
              </w:rPr>
            </w:pPr>
            <w:r>
              <w:rPr>
                <w:rFonts w:hint="eastAsia" w:ascii="宋体" w:hAnsi="宋体" w:cs="宋体"/>
                <w:color w:val="auto"/>
                <w:kern w:val="0"/>
                <w:sz w:val="24"/>
              </w:rPr>
              <w:t>产品要求</w:t>
            </w:r>
          </w:p>
        </w:tc>
        <w:tc>
          <w:tcPr>
            <w:tcW w:w="1276" w:type="dxa"/>
            <w:tcBorders>
              <w:top w:val="nil"/>
              <w:left w:val="nil"/>
              <w:bottom w:val="single" w:color="auto" w:sz="4" w:space="0"/>
              <w:right w:val="single" w:color="auto" w:sz="4" w:space="0"/>
            </w:tcBorders>
            <w:vAlign w:val="center"/>
          </w:tcPr>
          <w:p w14:paraId="30247F0C">
            <w:pPr>
              <w:widowControl/>
              <w:jc w:val="center"/>
              <w:rPr>
                <w:rFonts w:hint="eastAsia" w:ascii="宋体" w:hAnsi="宋体" w:cs="宋体"/>
                <w:color w:val="auto"/>
                <w:kern w:val="0"/>
                <w:sz w:val="24"/>
              </w:rPr>
            </w:pPr>
            <w:r>
              <w:rPr>
                <w:rFonts w:hint="eastAsia" w:ascii="宋体" w:hAnsi="宋体" w:cs="宋体"/>
                <w:color w:val="auto"/>
                <w:kern w:val="0"/>
                <w:sz w:val="24"/>
              </w:rPr>
              <w:t>硬件要求</w:t>
            </w:r>
          </w:p>
        </w:tc>
        <w:tc>
          <w:tcPr>
            <w:tcW w:w="7087" w:type="dxa"/>
            <w:tcBorders>
              <w:top w:val="nil"/>
              <w:left w:val="nil"/>
              <w:bottom w:val="single" w:color="auto" w:sz="4" w:space="0"/>
              <w:right w:val="single" w:color="auto" w:sz="4" w:space="0"/>
            </w:tcBorders>
            <w:vAlign w:val="center"/>
          </w:tcPr>
          <w:p w14:paraId="7940ABE9">
            <w:pPr>
              <w:widowControl/>
              <w:rPr>
                <w:rFonts w:hint="eastAsia" w:ascii="宋体" w:hAnsi="宋体" w:cs="宋体"/>
                <w:color w:val="auto"/>
                <w:kern w:val="0"/>
                <w:sz w:val="24"/>
              </w:rPr>
            </w:pPr>
            <w:r>
              <w:rPr>
                <w:rFonts w:hint="eastAsia" w:ascii="宋体" w:hAnsi="宋体" w:cs="宋体"/>
                <w:color w:val="auto"/>
                <w:kern w:val="0"/>
                <w:sz w:val="24"/>
              </w:rPr>
              <w:t>★2U标准机架式设备，提供冗余电源</w:t>
            </w:r>
            <w:r>
              <w:rPr>
                <w:rFonts w:hint="eastAsia" w:ascii="宋体" w:hAnsi="宋体" w:cs="宋体"/>
                <w:color w:val="auto"/>
                <w:kern w:val="0"/>
                <w:sz w:val="24"/>
                <w:lang w:val="en-US" w:eastAsia="zh-CN"/>
              </w:rPr>
              <w:t>；</w:t>
            </w:r>
            <w:r>
              <w:rPr>
                <w:rFonts w:hint="eastAsia" w:ascii="宋体" w:hAnsi="宋体" w:cs="宋体"/>
                <w:color w:val="auto"/>
                <w:kern w:val="0"/>
                <w:sz w:val="24"/>
              </w:rPr>
              <w:t>CPU≥8，内存≥128，系统盘≥128G SSD，数据盘≥4*16T硬盘，接口≥4*千兆电，≥4*千兆光，≥2*万兆光口，2*USB，1*串口，1*GE管理口，1*扩展插槽，具备液晶显示屏。</w:t>
            </w:r>
          </w:p>
        </w:tc>
      </w:tr>
      <w:tr w14:paraId="27369792">
        <w:tblPrEx>
          <w:tblCellMar>
            <w:top w:w="0" w:type="dxa"/>
            <w:left w:w="108" w:type="dxa"/>
            <w:bottom w:w="0" w:type="dxa"/>
            <w:right w:w="108" w:type="dxa"/>
          </w:tblCellMar>
        </w:tblPrEx>
        <w:trPr>
          <w:trHeight w:val="710" w:hRule="atLeast"/>
        </w:trPr>
        <w:tc>
          <w:tcPr>
            <w:tcW w:w="846" w:type="dxa"/>
            <w:vMerge w:val="continue"/>
            <w:tcBorders>
              <w:top w:val="nil"/>
              <w:left w:val="single" w:color="auto" w:sz="4" w:space="0"/>
              <w:bottom w:val="nil"/>
              <w:right w:val="single" w:color="auto" w:sz="4" w:space="0"/>
            </w:tcBorders>
            <w:vAlign w:val="center"/>
          </w:tcPr>
          <w:p w14:paraId="24629674">
            <w:pPr>
              <w:widowControl/>
              <w:jc w:val="left"/>
              <w:rPr>
                <w:rFonts w:hint="eastAsia" w:ascii="宋体" w:hAnsi="宋体" w:cs="宋体"/>
                <w:color w:val="auto"/>
                <w:kern w:val="0"/>
                <w:sz w:val="24"/>
              </w:rPr>
            </w:pPr>
          </w:p>
        </w:tc>
        <w:tc>
          <w:tcPr>
            <w:tcW w:w="1276" w:type="dxa"/>
            <w:tcBorders>
              <w:top w:val="nil"/>
              <w:left w:val="nil"/>
              <w:bottom w:val="single" w:color="auto" w:sz="4" w:space="0"/>
              <w:right w:val="single" w:color="auto" w:sz="4" w:space="0"/>
            </w:tcBorders>
            <w:vAlign w:val="top"/>
          </w:tcPr>
          <w:p w14:paraId="0CAF2873">
            <w:pPr>
              <w:jc w:val="both"/>
              <w:rPr>
                <w:rFonts w:hint="eastAsia" w:ascii="Times New Roman" w:hAnsi="Times New Roman" w:eastAsia="宋体" w:cs="Times New Roman"/>
                <w:color w:val="auto"/>
                <w:kern w:val="2"/>
                <w:sz w:val="21"/>
                <w:szCs w:val="24"/>
                <w:lang w:val="en-US" w:eastAsia="zh-CN" w:bidi="ar-SA"/>
              </w:rPr>
            </w:pPr>
            <w:r>
              <w:rPr>
                <w:color w:val="auto"/>
              </w:rPr>
              <w:t>★</w:t>
            </w:r>
            <w:r>
              <w:rPr>
                <w:rFonts w:hint="eastAsia"/>
                <w:color w:val="auto"/>
                <w:lang w:val="en-US" w:eastAsia="zh-CN"/>
              </w:rPr>
              <w:t>安全要求</w:t>
            </w:r>
          </w:p>
        </w:tc>
        <w:tc>
          <w:tcPr>
            <w:tcW w:w="7087" w:type="dxa"/>
            <w:tcBorders>
              <w:top w:val="nil"/>
              <w:left w:val="nil"/>
              <w:bottom w:val="single" w:color="auto" w:sz="4" w:space="0"/>
              <w:right w:val="single" w:color="auto" w:sz="4" w:space="0"/>
            </w:tcBorders>
            <w:vAlign w:val="top"/>
          </w:tcPr>
          <w:p w14:paraId="6D02570A">
            <w:pPr>
              <w:rPr>
                <w:rFonts w:hint="eastAsia" w:ascii="Times New Roman" w:hAnsi="Times New Roman" w:eastAsia="宋体" w:cs="Times New Roman"/>
                <w:color w:val="auto"/>
                <w:kern w:val="2"/>
                <w:sz w:val="21"/>
                <w:szCs w:val="24"/>
                <w:lang w:val="en-US" w:eastAsia="zh-CN" w:bidi="ar-SA"/>
              </w:rPr>
            </w:pPr>
            <w:r>
              <w:rPr>
                <w:rFonts w:hint="eastAsia" w:ascii="Times New Roman" w:hAnsi="Times New Roman" w:eastAsia="宋体" w:cs="Times New Roman"/>
                <w:color w:val="auto"/>
                <w:lang w:val="en-US" w:eastAsia="zh-CN"/>
              </w:rPr>
              <w:t>产品集成部件的芯片基于自主可控芯片，包括但不限于多核架构CPU、DRAM颗粒、PHY、FLASH、电源、交换转发、通信等芯片。</w:t>
            </w:r>
          </w:p>
        </w:tc>
      </w:tr>
      <w:tr w14:paraId="19676EC0">
        <w:tblPrEx>
          <w:tblCellMar>
            <w:top w:w="0" w:type="dxa"/>
            <w:left w:w="108" w:type="dxa"/>
            <w:bottom w:w="0" w:type="dxa"/>
            <w:right w:w="108" w:type="dxa"/>
          </w:tblCellMar>
        </w:tblPrEx>
        <w:trPr>
          <w:trHeight w:val="710" w:hRule="atLeast"/>
        </w:trPr>
        <w:tc>
          <w:tcPr>
            <w:tcW w:w="846" w:type="dxa"/>
            <w:vMerge w:val="continue"/>
            <w:tcBorders>
              <w:top w:val="nil"/>
              <w:left w:val="single" w:color="auto" w:sz="4" w:space="0"/>
              <w:bottom w:val="nil"/>
              <w:right w:val="single" w:color="auto" w:sz="4" w:space="0"/>
            </w:tcBorders>
            <w:vAlign w:val="center"/>
          </w:tcPr>
          <w:p w14:paraId="45AA02D4">
            <w:pPr>
              <w:widowControl/>
              <w:jc w:val="left"/>
              <w:rPr>
                <w:rFonts w:hint="eastAsia" w:ascii="宋体" w:hAnsi="宋体" w:cs="宋体"/>
                <w:color w:val="auto"/>
                <w:kern w:val="0"/>
                <w:sz w:val="24"/>
              </w:rPr>
            </w:pPr>
          </w:p>
        </w:tc>
        <w:tc>
          <w:tcPr>
            <w:tcW w:w="1276" w:type="dxa"/>
            <w:tcBorders>
              <w:top w:val="nil"/>
              <w:left w:val="nil"/>
              <w:bottom w:val="single" w:color="auto" w:sz="4" w:space="0"/>
              <w:right w:val="single" w:color="auto" w:sz="4" w:space="0"/>
            </w:tcBorders>
            <w:vAlign w:val="center"/>
          </w:tcPr>
          <w:p w14:paraId="263495F7">
            <w:pPr>
              <w:widowControl/>
              <w:jc w:val="center"/>
              <w:rPr>
                <w:rFonts w:hint="eastAsia" w:ascii="宋体" w:hAnsi="宋体" w:cs="宋体"/>
                <w:color w:val="auto"/>
                <w:kern w:val="0"/>
                <w:sz w:val="24"/>
              </w:rPr>
            </w:pPr>
            <w:r>
              <w:rPr>
                <w:rFonts w:hint="eastAsia" w:ascii="宋体" w:hAnsi="宋体" w:cs="宋体"/>
                <w:color w:val="auto"/>
                <w:kern w:val="0"/>
                <w:sz w:val="24"/>
              </w:rPr>
              <w:t>性能要求</w:t>
            </w:r>
          </w:p>
        </w:tc>
        <w:tc>
          <w:tcPr>
            <w:tcW w:w="7087" w:type="dxa"/>
            <w:tcBorders>
              <w:top w:val="nil"/>
              <w:left w:val="nil"/>
              <w:bottom w:val="single" w:color="auto" w:sz="4" w:space="0"/>
              <w:right w:val="single" w:color="auto" w:sz="4" w:space="0"/>
            </w:tcBorders>
            <w:vAlign w:val="center"/>
          </w:tcPr>
          <w:p w14:paraId="0F9B7433">
            <w:pPr>
              <w:widowControl/>
              <w:rPr>
                <w:rFonts w:hint="eastAsia" w:ascii="宋体" w:hAnsi="宋体" w:cs="宋体"/>
                <w:color w:val="auto"/>
                <w:kern w:val="0"/>
                <w:sz w:val="24"/>
              </w:rPr>
            </w:pPr>
            <w:r>
              <w:rPr>
                <w:rFonts w:hint="eastAsia" w:ascii="宋体" w:hAnsi="宋体" w:cs="宋体"/>
                <w:color w:val="auto"/>
                <w:kern w:val="0"/>
                <w:sz w:val="24"/>
              </w:rPr>
              <w:t>系统支持审计≥540台日志源设备接入，应可扩展日志源接入数量。</w:t>
            </w:r>
            <w:r>
              <w:rPr>
                <w:rFonts w:hint="eastAsia" w:ascii="宋体" w:hAnsi="宋体" w:cs="宋体"/>
                <w:color w:val="auto"/>
                <w:kern w:val="0"/>
                <w:sz w:val="24"/>
              </w:rPr>
              <w:br w:type="textWrapping"/>
            </w:r>
            <w:r>
              <w:rPr>
                <w:rFonts w:hint="eastAsia" w:ascii="宋体" w:hAnsi="宋体" w:cs="宋体"/>
                <w:color w:val="auto"/>
                <w:kern w:val="0"/>
                <w:sz w:val="24"/>
              </w:rPr>
              <w:t>系统支持≥13000EPS/秒的日志平均处理能力</w:t>
            </w:r>
          </w:p>
        </w:tc>
      </w:tr>
      <w:tr w14:paraId="1589DEF4">
        <w:tblPrEx>
          <w:tblCellMar>
            <w:top w:w="0" w:type="dxa"/>
            <w:left w:w="108" w:type="dxa"/>
            <w:bottom w:w="0" w:type="dxa"/>
            <w:right w:w="108" w:type="dxa"/>
          </w:tblCellMar>
        </w:tblPrEx>
        <w:trPr>
          <w:trHeight w:val="450" w:hRule="atLeast"/>
        </w:trPr>
        <w:tc>
          <w:tcPr>
            <w:tcW w:w="846" w:type="dxa"/>
            <w:vMerge w:val="continue"/>
            <w:tcBorders>
              <w:top w:val="nil"/>
              <w:left w:val="single" w:color="auto" w:sz="4" w:space="0"/>
              <w:bottom w:val="nil"/>
              <w:right w:val="single" w:color="auto" w:sz="4" w:space="0"/>
            </w:tcBorders>
            <w:vAlign w:val="center"/>
          </w:tcPr>
          <w:p w14:paraId="2FB486B8">
            <w:pPr>
              <w:widowControl/>
              <w:jc w:val="left"/>
              <w:rPr>
                <w:rFonts w:hint="eastAsia" w:ascii="宋体" w:hAnsi="宋体" w:cs="宋体"/>
                <w:color w:val="auto"/>
                <w:kern w:val="0"/>
                <w:sz w:val="24"/>
              </w:rPr>
            </w:pPr>
          </w:p>
        </w:tc>
        <w:tc>
          <w:tcPr>
            <w:tcW w:w="1276" w:type="dxa"/>
            <w:vMerge w:val="restart"/>
            <w:tcBorders>
              <w:top w:val="nil"/>
              <w:left w:val="single" w:color="auto" w:sz="4" w:space="0"/>
              <w:bottom w:val="single" w:color="000000" w:sz="4" w:space="0"/>
              <w:right w:val="single" w:color="auto" w:sz="4" w:space="0"/>
            </w:tcBorders>
            <w:vAlign w:val="center"/>
          </w:tcPr>
          <w:p w14:paraId="5B4ED354">
            <w:pPr>
              <w:widowControl/>
              <w:jc w:val="center"/>
              <w:rPr>
                <w:rFonts w:hint="eastAsia" w:ascii="宋体" w:hAnsi="宋体" w:cs="宋体"/>
                <w:color w:val="auto"/>
                <w:kern w:val="0"/>
                <w:sz w:val="24"/>
              </w:rPr>
            </w:pPr>
            <w:r>
              <w:rPr>
                <w:rFonts w:hint="eastAsia" w:ascii="宋体" w:hAnsi="宋体" w:cs="宋体"/>
                <w:color w:val="auto"/>
                <w:kern w:val="0"/>
                <w:sz w:val="24"/>
              </w:rPr>
              <w:t>系统架构</w:t>
            </w:r>
          </w:p>
        </w:tc>
        <w:tc>
          <w:tcPr>
            <w:tcW w:w="7087" w:type="dxa"/>
            <w:tcBorders>
              <w:top w:val="nil"/>
              <w:left w:val="nil"/>
              <w:bottom w:val="single" w:color="auto" w:sz="4" w:space="0"/>
              <w:right w:val="single" w:color="auto" w:sz="4" w:space="0"/>
            </w:tcBorders>
            <w:vAlign w:val="center"/>
          </w:tcPr>
          <w:p w14:paraId="76B72F9A">
            <w:pPr>
              <w:widowControl/>
              <w:rPr>
                <w:rFonts w:hint="eastAsia" w:ascii="宋体" w:hAnsi="宋体" w:cs="宋体"/>
                <w:color w:val="auto"/>
                <w:kern w:val="0"/>
                <w:sz w:val="24"/>
              </w:rPr>
            </w:pPr>
            <w:r>
              <w:rPr>
                <w:rFonts w:hint="eastAsia" w:ascii="宋体" w:hAnsi="宋体" w:cs="宋体"/>
                <w:color w:val="auto"/>
                <w:kern w:val="0"/>
                <w:sz w:val="24"/>
              </w:rPr>
              <w:t>系统应基于大数据平台架构，具备海量数据收集与快速检索能力</w:t>
            </w:r>
          </w:p>
        </w:tc>
      </w:tr>
      <w:tr w14:paraId="63884FF0">
        <w:tblPrEx>
          <w:tblCellMar>
            <w:top w:w="0" w:type="dxa"/>
            <w:left w:w="108" w:type="dxa"/>
            <w:bottom w:w="0" w:type="dxa"/>
            <w:right w:w="108" w:type="dxa"/>
          </w:tblCellMar>
        </w:tblPrEx>
        <w:trPr>
          <w:trHeight w:val="540" w:hRule="atLeast"/>
        </w:trPr>
        <w:tc>
          <w:tcPr>
            <w:tcW w:w="846" w:type="dxa"/>
            <w:vMerge w:val="continue"/>
            <w:tcBorders>
              <w:top w:val="nil"/>
              <w:left w:val="single" w:color="auto" w:sz="4" w:space="0"/>
              <w:bottom w:val="nil"/>
              <w:right w:val="single" w:color="auto" w:sz="4" w:space="0"/>
            </w:tcBorders>
            <w:vAlign w:val="center"/>
          </w:tcPr>
          <w:p w14:paraId="7DDC52BB">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4CB3C9E5">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5CD979AE">
            <w:pPr>
              <w:widowControl/>
              <w:rPr>
                <w:rFonts w:hint="eastAsia" w:ascii="宋体" w:hAnsi="宋体" w:cs="宋体"/>
                <w:color w:val="auto"/>
                <w:kern w:val="0"/>
                <w:sz w:val="24"/>
              </w:rPr>
            </w:pPr>
            <w:r>
              <w:rPr>
                <w:rFonts w:hint="eastAsia" w:ascii="宋体" w:hAnsi="宋体" w:cs="宋体"/>
                <w:color w:val="auto"/>
                <w:kern w:val="0"/>
                <w:sz w:val="24"/>
              </w:rPr>
              <w:t>系统应基于B/S架构，支持SSL加密模式访问，可通过web方式直接对系统进行管理</w:t>
            </w:r>
          </w:p>
        </w:tc>
      </w:tr>
      <w:tr w14:paraId="4659EF1A">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2DE22B35">
            <w:pPr>
              <w:widowControl/>
              <w:jc w:val="left"/>
              <w:rPr>
                <w:rFonts w:hint="eastAsia" w:ascii="宋体" w:hAnsi="宋体" w:cs="宋体"/>
                <w:color w:val="auto"/>
                <w:kern w:val="0"/>
                <w:sz w:val="24"/>
              </w:rPr>
            </w:pPr>
          </w:p>
        </w:tc>
        <w:tc>
          <w:tcPr>
            <w:tcW w:w="1276" w:type="dxa"/>
            <w:vMerge w:val="restart"/>
            <w:tcBorders>
              <w:top w:val="nil"/>
              <w:left w:val="single" w:color="auto" w:sz="4" w:space="0"/>
              <w:bottom w:val="single" w:color="000000" w:sz="4" w:space="0"/>
              <w:right w:val="single" w:color="auto" w:sz="4" w:space="0"/>
            </w:tcBorders>
            <w:vAlign w:val="center"/>
          </w:tcPr>
          <w:p w14:paraId="44E5FE08">
            <w:pPr>
              <w:widowControl/>
              <w:jc w:val="center"/>
              <w:rPr>
                <w:rFonts w:hint="eastAsia" w:ascii="宋体" w:hAnsi="宋体" w:cs="宋体"/>
                <w:color w:val="auto"/>
                <w:kern w:val="0"/>
                <w:sz w:val="24"/>
              </w:rPr>
            </w:pPr>
            <w:r>
              <w:rPr>
                <w:rFonts w:hint="eastAsia" w:ascii="宋体" w:hAnsi="宋体" w:cs="宋体"/>
                <w:color w:val="auto"/>
                <w:kern w:val="0"/>
                <w:sz w:val="24"/>
              </w:rPr>
              <w:t>日志采集</w:t>
            </w:r>
          </w:p>
        </w:tc>
        <w:tc>
          <w:tcPr>
            <w:tcW w:w="7087" w:type="dxa"/>
            <w:tcBorders>
              <w:top w:val="nil"/>
              <w:left w:val="nil"/>
              <w:bottom w:val="single" w:color="auto" w:sz="4" w:space="0"/>
              <w:right w:val="single" w:color="auto" w:sz="4" w:space="0"/>
            </w:tcBorders>
            <w:vAlign w:val="center"/>
          </w:tcPr>
          <w:p w14:paraId="3FDA6718">
            <w:pPr>
              <w:widowControl/>
              <w:rPr>
                <w:rFonts w:hint="eastAsia" w:ascii="宋体" w:hAnsi="宋体" w:cs="宋体"/>
                <w:color w:val="auto"/>
                <w:kern w:val="0"/>
                <w:sz w:val="24"/>
              </w:rPr>
            </w:pPr>
            <w:r>
              <w:rPr>
                <w:rFonts w:hint="eastAsia" w:ascii="宋体" w:hAnsi="宋体" w:cs="宋体"/>
                <w:color w:val="auto"/>
                <w:kern w:val="0"/>
                <w:sz w:val="24"/>
              </w:rPr>
              <w:t>★系统支持的数据采集范围包括但不限于网络安全设备、交换设备、路由设备、操作系统、应用系统等（需要提供加盖制造商公章的功能截图）</w:t>
            </w:r>
          </w:p>
        </w:tc>
      </w:tr>
      <w:tr w14:paraId="53638E3B">
        <w:tblPrEx>
          <w:tblCellMar>
            <w:top w:w="0" w:type="dxa"/>
            <w:left w:w="108" w:type="dxa"/>
            <w:bottom w:w="0" w:type="dxa"/>
            <w:right w:w="108" w:type="dxa"/>
          </w:tblCellMar>
        </w:tblPrEx>
        <w:trPr>
          <w:trHeight w:val="90" w:hRule="atLeast"/>
        </w:trPr>
        <w:tc>
          <w:tcPr>
            <w:tcW w:w="846" w:type="dxa"/>
            <w:vMerge w:val="continue"/>
            <w:tcBorders>
              <w:top w:val="nil"/>
              <w:left w:val="single" w:color="auto" w:sz="4" w:space="0"/>
              <w:bottom w:val="nil"/>
              <w:right w:val="single" w:color="auto" w:sz="4" w:space="0"/>
            </w:tcBorders>
            <w:vAlign w:val="center"/>
          </w:tcPr>
          <w:p w14:paraId="274AFE1A">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597C6E15">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1BCD608E">
            <w:pPr>
              <w:widowControl/>
              <w:rPr>
                <w:rFonts w:hint="eastAsia" w:ascii="宋体" w:hAnsi="宋体" w:cs="宋体"/>
                <w:color w:val="auto"/>
                <w:kern w:val="0"/>
                <w:sz w:val="24"/>
              </w:rPr>
            </w:pPr>
            <w:r>
              <w:rPr>
                <w:rFonts w:hint="eastAsia" w:ascii="宋体" w:hAnsi="宋体" w:cs="宋体"/>
                <w:color w:val="auto"/>
                <w:kern w:val="0"/>
                <w:sz w:val="24"/>
              </w:rPr>
              <w:t>系统支持的数据采集方式包括但不限于SYSLOG、RSYSLOG、SNMP Trap等方式采集日志</w:t>
            </w:r>
          </w:p>
        </w:tc>
      </w:tr>
      <w:tr w14:paraId="5C0F7E6E">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1E3129A8">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04727E9B">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5A2F7543">
            <w:pPr>
              <w:widowControl/>
              <w:rPr>
                <w:rFonts w:hint="eastAsia" w:ascii="宋体" w:hAnsi="宋体" w:eastAsia="宋体" w:cs="宋体"/>
                <w:color w:val="auto"/>
                <w:kern w:val="0"/>
                <w:sz w:val="24"/>
                <w:lang w:eastAsia="zh-CN"/>
              </w:rPr>
            </w:pPr>
            <w:r>
              <w:rPr>
                <w:rFonts w:hint="eastAsia" w:ascii="宋体" w:hAnsi="宋体" w:cs="宋体"/>
                <w:color w:val="auto"/>
                <w:kern w:val="0"/>
                <w:sz w:val="24"/>
              </w:rPr>
              <w:t>★系统应支持规则自适应日志接入，仅输入端口即可自动匹配相应规则，完成日志自动接入</w:t>
            </w:r>
            <w:r>
              <w:rPr>
                <w:rFonts w:hint="eastAsia" w:ascii="宋体" w:hAnsi="宋体" w:cs="宋体"/>
                <w:color w:val="auto"/>
                <w:kern w:val="0"/>
                <w:sz w:val="24"/>
                <w:lang w:eastAsia="zh-CN"/>
              </w:rPr>
              <w:t>。</w:t>
            </w:r>
          </w:p>
        </w:tc>
      </w:tr>
      <w:tr w14:paraId="2F96465E">
        <w:tblPrEx>
          <w:tblCellMar>
            <w:top w:w="0" w:type="dxa"/>
            <w:left w:w="108" w:type="dxa"/>
            <w:bottom w:w="0" w:type="dxa"/>
            <w:right w:w="108" w:type="dxa"/>
          </w:tblCellMar>
        </w:tblPrEx>
        <w:trPr>
          <w:trHeight w:val="416" w:hRule="atLeast"/>
        </w:trPr>
        <w:tc>
          <w:tcPr>
            <w:tcW w:w="846" w:type="dxa"/>
            <w:vMerge w:val="continue"/>
            <w:tcBorders>
              <w:top w:val="nil"/>
              <w:left w:val="single" w:color="auto" w:sz="4" w:space="0"/>
              <w:bottom w:val="nil"/>
              <w:right w:val="single" w:color="auto" w:sz="4" w:space="0"/>
            </w:tcBorders>
            <w:vAlign w:val="center"/>
          </w:tcPr>
          <w:p w14:paraId="3C909B9F">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3DE9E859">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06929C5D">
            <w:pPr>
              <w:widowControl/>
              <w:rPr>
                <w:rFonts w:hint="eastAsia" w:ascii="宋体" w:hAnsi="宋体" w:cs="宋体"/>
                <w:color w:val="auto"/>
                <w:kern w:val="0"/>
                <w:sz w:val="24"/>
              </w:rPr>
            </w:pPr>
            <w:r>
              <w:rPr>
                <w:rFonts w:hint="eastAsia" w:ascii="宋体" w:hAnsi="宋体" w:cs="宋体"/>
                <w:color w:val="auto"/>
                <w:kern w:val="0"/>
                <w:sz w:val="24"/>
              </w:rPr>
              <w:t>系统支持采集的设备厂家包括但不限于：NSFOCUS(绿盟科技)、Venustech(启明星辰)、Topsec(天融信)、DBAPPSecurit(安恒)、SANGFOR(深信服)、Hillstone(山石网科)、奇安信、亚信、艾科网信、Windows、Linux/Unix、、HUAWEI(华为)、H3C(华三)、Apache、nginx 、IIS、WebLogic、Vmware、Oracle、MySQL、PostgreSQL、SQL Server、Bind等</w:t>
            </w:r>
          </w:p>
        </w:tc>
      </w:tr>
      <w:tr w14:paraId="7E4A407F">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29B15734">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2BDB80EF">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10F42554">
            <w:pPr>
              <w:widowControl/>
              <w:rPr>
                <w:rFonts w:hint="eastAsia" w:ascii="宋体" w:hAnsi="宋体" w:eastAsia="宋体" w:cs="宋体"/>
                <w:color w:val="auto"/>
                <w:kern w:val="0"/>
                <w:sz w:val="24"/>
                <w:lang w:eastAsia="zh-CN"/>
              </w:rPr>
            </w:pPr>
            <w:r>
              <w:rPr>
                <w:rFonts w:hint="eastAsia" w:ascii="宋体" w:hAnsi="宋体" w:cs="宋体"/>
                <w:color w:val="auto"/>
                <w:kern w:val="0"/>
                <w:sz w:val="24"/>
              </w:rPr>
              <w:t>★系统支持利用 JDBC的方式对数据库表日志进行综合管理与分析</w:t>
            </w:r>
            <w:r>
              <w:rPr>
                <w:rFonts w:hint="eastAsia" w:ascii="宋体" w:hAnsi="宋体" w:cs="宋体"/>
                <w:color w:val="auto"/>
                <w:kern w:val="0"/>
                <w:sz w:val="24"/>
                <w:lang w:eastAsia="zh-CN"/>
              </w:rPr>
              <w:t>。</w:t>
            </w:r>
          </w:p>
        </w:tc>
      </w:tr>
      <w:tr w14:paraId="42BB7A4C">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21F44833">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24E4C133">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493124EF">
            <w:pPr>
              <w:widowControl/>
              <w:rPr>
                <w:rFonts w:hint="eastAsia" w:ascii="宋体" w:hAnsi="宋体" w:cs="宋体"/>
                <w:color w:val="auto"/>
                <w:kern w:val="0"/>
                <w:sz w:val="24"/>
              </w:rPr>
            </w:pPr>
            <w:r>
              <w:rPr>
                <w:rFonts w:hint="eastAsia" w:ascii="宋体" w:hAnsi="宋体" w:cs="宋体"/>
                <w:color w:val="auto"/>
                <w:kern w:val="0"/>
                <w:sz w:val="24"/>
              </w:rPr>
              <w:t>系统支持采集国产化数据库数据接入，包括但不限于：人大金仓、南大通用、达梦数据库，神州通用</w:t>
            </w:r>
          </w:p>
        </w:tc>
      </w:tr>
      <w:tr w14:paraId="020AE6C8">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0E919401">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6586739E">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32A00C0C">
            <w:pPr>
              <w:widowControl/>
              <w:rPr>
                <w:rFonts w:hint="eastAsia" w:ascii="宋体" w:hAnsi="宋体" w:cs="宋体"/>
                <w:color w:val="auto"/>
                <w:kern w:val="0"/>
                <w:sz w:val="24"/>
              </w:rPr>
            </w:pPr>
            <w:r>
              <w:rPr>
                <w:rFonts w:hint="eastAsia" w:ascii="宋体" w:hAnsi="宋体" w:cs="宋体"/>
                <w:color w:val="auto"/>
                <w:kern w:val="0"/>
                <w:sz w:val="24"/>
              </w:rPr>
              <w:t>★系统支持采集国产化操作系统日志，包括但不限于：中标麒麟、银河麒麟、统信、openEuler等，（需要提供加盖制造商公章的功能截图）</w:t>
            </w:r>
          </w:p>
        </w:tc>
      </w:tr>
      <w:tr w14:paraId="0561A31F">
        <w:tblPrEx>
          <w:tblCellMar>
            <w:top w:w="0" w:type="dxa"/>
            <w:left w:w="108" w:type="dxa"/>
            <w:bottom w:w="0" w:type="dxa"/>
            <w:right w:w="108" w:type="dxa"/>
          </w:tblCellMar>
        </w:tblPrEx>
        <w:trPr>
          <w:trHeight w:val="720" w:hRule="atLeast"/>
        </w:trPr>
        <w:tc>
          <w:tcPr>
            <w:tcW w:w="846" w:type="dxa"/>
            <w:vMerge w:val="continue"/>
            <w:tcBorders>
              <w:top w:val="nil"/>
              <w:left w:val="single" w:color="auto" w:sz="4" w:space="0"/>
              <w:bottom w:val="nil"/>
              <w:right w:val="single" w:color="auto" w:sz="4" w:space="0"/>
            </w:tcBorders>
            <w:vAlign w:val="center"/>
          </w:tcPr>
          <w:p w14:paraId="5D2A3138">
            <w:pPr>
              <w:widowControl/>
              <w:jc w:val="left"/>
              <w:rPr>
                <w:rFonts w:hint="eastAsia" w:ascii="宋体" w:hAnsi="宋体" w:cs="宋体"/>
                <w:color w:val="auto"/>
                <w:kern w:val="0"/>
                <w:sz w:val="24"/>
              </w:rPr>
            </w:pPr>
          </w:p>
        </w:tc>
        <w:tc>
          <w:tcPr>
            <w:tcW w:w="1276" w:type="dxa"/>
            <w:vMerge w:val="restart"/>
            <w:tcBorders>
              <w:top w:val="nil"/>
              <w:left w:val="single" w:color="auto" w:sz="4" w:space="0"/>
              <w:bottom w:val="nil"/>
              <w:right w:val="single" w:color="auto" w:sz="4" w:space="0"/>
            </w:tcBorders>
            <w:vAlign w:val="center"/>
          </w:tcPr>
          <w:p w14:paraId="5C9C3012">
            <w:pPr>
              <w:widowControl/>
              <w:jc w:val="center"/>
              <w:rPr>
                <w:rFonts w:hint="eastAsia" w:ascii="宋体" w:hAnsi="宋体" w:cs="宋体"/>
                <w:color w:val="auto"/>
                <w:kern w:val="0"/>
                <w:sz w:val="24"/>
              </w:rPr>
            </w:pPr>
            <w:r>
              <w:rPr>
                <w:rFonts w:hint="eastAsia" w:ascii="宋体" w:hAnsi="宋体" w:cs="宋体"/>
                <w:color w:val="auto"/>
                <w:kern w:val="0"/>
                <w:sz w:val="24"/>
              </w:rPr>
              <w:t>日志管理</w:t>
            </w:r>
          </w:p>
        </w:tc>
        <w:tc>
          <w:tcPr>
            <w:tcW w:w="7087" w:type="dxa"/>
            <w:tcBorders>
              <w:top w:val="nil"/>
              <w:left w:val="nil"/>
              <w:bottom w:val="single" w:color="auto" w:sz="4" w:space="0"/>
              <w:right w:val="single" w:color="auto" w:sz="4" w:space="0"/>
            </w:tcBorders>
            <w:vAlign w:val="center"/>
          </w:tcPr>
          <w:p w14:paraId="2344A221">
            <w:pPr>
              <w:widowControl/>
              <w:rPr>
                <w:rFonts w:hint="eastAsia" w:ascii="宋体" w:hAnsi="宋体" w:cs="宋体"/>
                <w:color w:val="auto"/>
                <w:kern w:val="0"/>
                <w:sz w:val="24"/>
              </w:rPr>
            </w:pPr>
            <w:r>
              <w:rPr>
                <w:rFonts w:hint="eastAsia" w:ascii="宋体" w:hAnsi="宋体" w:cs="宋体"/>
                <w:color w:val="auto"/>
                <w:kern w:val="0"/>
                <w:sz w:val="24"/>
              </w:rPr>
              <w:t>★系统应支持综合态势大屏概览，直观展示系统运行天数、日志保存天数、日志总数、各日志类型日志数量、当日事件统计TOP5、CPU/内存/磁盘等系统资源占用情况，并能够可视化展示日志源设备活跃情况、日志接入速率趋势图、近7日日志量趋势图、近7日事件量趋势图，便于运维人员及时发现日志接入异常，（需要提供加盖制造商公章的功能截图）</w:t>
            </w:r>
          </w:p>
        </w:tc>
      </w:tr>
      <w:tr w14:paraId="19271038">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3BF5C640">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7C6B4306">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17455DFA">
            <w:pPr>
              <w:widowControl/>
              <w:rPr>
                <w:rFonts w:hint="eastAsia" w:ascii="宋体" w:hAnsi="宋体" w:cs="宋体"/>
                <w:color w:val="auto"/>
                <w:kern w:val="0"/>
                <w:sz w:val="24"/>
              </w:rPr>
            </w:pPr>
            <w:r>
              <w:rPr>
                <w:rFonts w:hint="eastAsia" w:ascii="宋体" w:hAnsi="宋体" w:cs="宋体"/>
                <w:color w:val="auto"/>
                <w:kern w:val="0"/>
                <w:sz w:val="24"/>
              </w:rPr>
              <w:t>系统应能实现海量日志数据的采集并保存原始日志数据</w:t>
            </w:r>
          </w:p>
        </w:tc>
      </w:tr>
      <w:tr w14:paraId="00C31B7F">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31A1C791">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31985329">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3D08C3BD">
            <w:pPr>
              <w:widowControl/>
              <w:rPr>
                <w:rFonts w:hint="eastAsia" w:ascii="宋体" w:hAnsi="宋体" w:cs="宋体"/>
                <w:color w:val="auto"/>
                <w:kern w:val="0"/>
                <w:sz w:val="24"/>
              </w:rPr>
            </w:pPr>
            <w:r>
              <w:rPr>
                <w:rFonts w:hint="eastAsia" w:ascii="宋体" w:hAnsi="宋体" w:cs="宋体"/>
                <w:color w:val="auto"/>
                <w:kern w:val="0"/>
                <w:sz w:val="24"/>
              </w:rPr>
              <w:t>系统应能够对异构日志格式进行统一化处理并保存统一化处理后的日志数据</w:t>
            </w:r>
          </w:p>
        </w:tc>
      </w:tr>
      <w:tr w14:paraId="5F6549CF">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6A134A96">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5F975D3F">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1C846882">
            <w:pPr>
              <w:widowControl/>
              <w:rPr>
                <w:rFonts w:hint="eastAsia" w:ascii="宋体" w:hAnsi="宋体" w:cs="宋体"/>
                <w:color w:val="auto"/>
                <w:kern w:val="0"/>
                <w:sz w:val="24"/>
              </w:rPr>
            </w:pPr>
            <w:r>
              <w:rPr>
                <w:rFonts w:hint="eastAsia" w:ascii="宋体" w:hAnsi="宋体" w:cs="宋体"/>
                <w:color w:val="auto"/>
                <w:kern w:val="0"/>
                <w:sz w:val="24"/>
              </w:rPr>
              <w:t xml:space="preserve">★系统应支持界面配置即可完成未识别日志接入，无需编写xml。（需要提供加盖制造商公章的功能截图） </w:t>
            </w:r>
          </w:p>
        </w:tc>
      </w:tr>
      <w:tr w14:paraId="1BFCD50D">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4181DBDE">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32827F73">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6C37914F">
            <w:pPr>
              <w:widowControl/>
              <w:rPr>
                <w:rFonts w:hint="eastAsia" w:ascii="宋体" w:hAnsi="宋体" w:cs="宋体"/>
                <w:color w:val="auto"/>
                <w:kern w:val="0"/>
                <w:sz w:val="24"/>
              </w:rPr>
            </w:pPr>
            <w:r>
              <w:rPr>
                <w:rFonts w:hint="eastAsia" w:ascii="宋体" w:hAnsi="宋体" w:cs="宋体"/>
                <w:color w:val="auto"/>
                <w:kern w:val="0"/>
                <w:sz w:val="24"/>
              </w:rPr>
              <w:t>★系统应能够实现范式化日志的枚举值管理，实现对范式化日志字段的灵活翻译，（需要提供加盖制造商公章的功能截图）</w:t>
            </w:r>
          </w:p>
        </w:tc>
      </w:tr>
      <w:tr w14:paraId="25EF91DA">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6902EB54">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4F134FAE">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00ED34A1">
            <w:pPr>
              <w:widowControl/>
              <w:rPr>
                <w:rFonts w:hint="eastAsia" w:ascii="宋体" w:hAnsi="宋体" w:cs="宋体"/>
                <w:color w:val="auto"/>
                <w:kern w:val="0"/>
                <w:sz w:val="24"/>
              </w:rPr>
            </w:pPr>
            <w:r>
              <w:rPr>
                <w:rFonts w:hint="eastAsia" w:ascii="宋体" w:hAnsi="宋体" w:cs="宋体"/>
                <w:color w:val="auto"/>
                <w:kern w:val="0"/>
                <w:sz w:val="24"/>
              </w:rPr>
              <w:t>★系统应内置对主机日志展开深度分析，分析场景包括但不限于登录情况、用户核心文件/文件夹监控、敏感操作及异常外联等，（需要提供加盖制造商公章的功能截图和具有CMA或CNAS认证的第三方权威检测机构出具的检测证明）</w:t>
            </w:r>
          </w:p>
        </w:tc>
      </w:tr>
      <w:tr w14:paraId="48EDA537">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44332363">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06104B71">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31F33296">
            <w:pPr>
              <w:widowControl/>
              <w:rPr>
                <w:rFonts w:hint="eastAsia" w:ascii="宋体" w:hAnsi="宋体" w:cs="宋体"/>
                <w:color w:val="auto"/>
                <w:kern w:val="0"/>
                <w:sz w:val="24"/>
              </w:rPr>
            </w:pPr>
            <w:r>
              <w:rPr>
                <w:rFonts w:hint="eastAsia" w:ascii="宋体" w:hAnsi="宋体" w:cs="宋体"/>
                <w:color w:val="auto"/>
                <w:kern w:val="0"/>
                <w:sz w:val="24"/>
              </w:rPr>
              <w:t>★系统应内置对WEB服务器日志展开深度分析，分析内容包括但不限于发起请求的地址及浏览器情况、响应结果、访问趋势等，（需要提供加盖制造商公章的功能截图）</w:t>
            </w:r>
          </w:p>
        </w:tc>
      </w:tr>
      <w:tr w14:paraId="520FEB03">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46E35B0E">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5ACC949C">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5F7173F7">
            <w:pPr>
              <w:widowControl/>
              <w:rPr>
                <w:rFonts w:hint="eastAsia" w:ascii="宋体" w:hAnsi="宋体" w:cs="宋体"/>
                <w:color w:val="auto"/>
                <w:kern w:val="0"/>
                <w:sz w:val="24"/>
              </w:rPr>
            </w:pPr>
            <w:r>
              <w:rPr>
                <w:rFonts w:hint="eastAsia" w:ascii="宋体" w:hAnsi="宋体" w:cs="宋体"/>
                <w:color w:val="auto"/>
                <w:kern w:val="0"/>
                <w:sz w:val="24"/>
              </w:rPr>
              <w:t>系统应支持IPv4、IPv6日志数据的采集、范式化、分析、展示</w:t>
            </w:r>
          </w:p>
        </w:tc>
      </w:tr>
      <w:tr w14:paraId="6A039971">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1AAC98FF">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28F128F7">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751FFBFE">
            <w:pPr>
              <w:widowControl/>
              <w:rPr>
                <w:rFonts w:hint="eastAsia" w:ascii="宋体" w:hAnsi="宋体" w:cs="宋体"/>
                <w:color w:val="auto"/>
                <w:kern w:val="0"/>
                <w:sz w:val="24"/>
              </w:rPr>
            </w:pPr>
            <w:r>
              <w:rPr>
                <w:rFonts w:hint="eastAsia" w:ascii="宋体" w:hAnsi="宋体" w:cs="宋体"/>
                <w:color w:val="auto"/>
                <w:kern w:val="0"/>
                <w:sz w:val="24"/>
              </w:rPr>
              <w:t>★系统应支持对资产进行监控配置，包含资源监控、采集监控、采集限速等，（需要提供加盖制造商公章的功能截图和具有CMA或CNAS认证的第三方权威检测机构出具的检测证明）</w:t>
            </w:r>
          </w:p>
        </w:tc>
      </w:tr>
      <w:tr w14:paraId="001D4D3E">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191F8A5B">
            <w:pPr>
              <w:widowControl/>
              <w:jc w:val="left"/>
              <w:rPr>
                <w:rFonts w:hint="eastAsia" w:ascii="宋体" w:hAnsi="宋体" w:cs="宋体"/>
                <w:color w:val="auto"/>
                <w:kern w:val="0"/>
                <w:sz w:val="24"/>
              </w:rPr>
            </w:pPr>
          </w:p>
        </w:tc>
        <w:tc>
          <w:tcPr>
            <w:tcW w:w="1276" w:type="dxa"/>
            <w:tcBorders>
              <w:top w:val="single" w:color="auto" w:sz="4" w:space="0"/>
              <w:left w:val="nil"/>
              <w:bottom w:val="single" w:color="auto" w:sz="4" w:space="0"/>
              <w:right w:val="single" w:color="auto" w:sz="4" w:space="0"/>
            </w:tcBorders>
            <w:vAlign w:val="center"/>
          </w:tcPr>
          <w:p w14:paraId="1AE63F54">
            <w:pPr>
              <w:widowControl/>
              <w:jc w:val="center"/>
              <w:rPr>
                <w:rFonts w:hint="eastAsia" w:ascii="宋体" w:hAnsi="宋体" w:cs="宋体"/>
                <w:color w:val="auto"/>
                <w:kern w:val="0"/>
                <w:sz w:val="24"/>
              </w:rPr>
            </w:pPr>
            <w:r>
              <w:rPr>
                <w:rFonts w:hint="eastAsia" w:ascii="宋体" w:hAnsi="宋体" w:cs="宋体"/>
                <w:color w:val="auto"/>
                <w:kern w:val="0"/>
                <w:sz w:val="24"/>
              </w:rPr>
              <w:t>日志转发</w:t>
            </w:r>
          </w:p>
        </w:tc>
        <w:tc>
          <w:tcPr>
            <w:tcW w:w="7087" w:type="dxa"/>
            <w:tcBorders>
              <w:top w:val="nil"/>
              <w:left w:val="nil"/>
              <w:bottom w:val="single" w:color="auto" w:sz="4" w:space="0"/>
              <w:right w:val="single" w:color="auto" w:sz="4" w:space="0"/>
            </w:tcBorders>
            <w:vAlign w:val="center"/>
          </w:tcPr>
          <w:p w14:paraId="46338CF6">
            <w:pPr>
              <w:widowControl/>
              <w:rPr>
                <w:rFonts w:hint="eastAsia" w:ascii="宋体" w:hAnsi="宋体" w:cs="宋体"/>
                <w:color w:val="auto"/>
                <w:kern w:val="0"/>
                <w:sz w:val="24"/>
              </w:rPr>
            </w:pPr>
            <w:r>
              <w:rPr>
                <w:rFonts w:hint="eastAsia" w:ascii="宋体" w:hAnsi="宋体" w:cs="宋体"/>
                <w:color w:val="auto"/>
                <w:kern w:val="0"/>
                <w:sz w:val="24"/>
              </w:rPr>
              <w:t>系统应提供日志转发功能，应支持日志转发多个目标地址，可实现原始日志、范式化日志的转发，且不丢失原始日志源IP信息</w:t>
            </w:r>
          </w:p>
        </w:tc>
      </w:tr>
      <w:tr w14:paraId="1983B1EB">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17997577">
            <w:pPr>
              <w:widowControl/>
              <w:jc w:val="left"/>
              <w:rPr>
                <w:rFonts w:hint="eastAsia" w:ascii="宋体" w:hAnsi="宋体" w:cs="宋体"/>
                <w:color w:val="auto"/>
                <w:kern w:val="0"/>
                <w:sz w:val="24"/>
              </w:rPr>
            </w:pPr>
          </w:p>
        </w:tc>
        <w:tc>
          <w:tcPr>
            <w:tcW w:w="1276" w:type="dxa"/>
            <w:vMerge w:val="restart"/>
            <w:tcBorders>
              <w:top w:val="nil"/>
              <w:left w:val="single" w:color="auto" w:sz="4" w:space="0"/>
              <w:bottom w:val="nil"/>
              <w:right w:val="single" w:color="auto" w:sz="4" w:space="0"/>
            </w:tcBorders>
            <w:vAlign w:val="center"/>
          </w:tcPr>
          <w:p w14:paraId="2C04C706">
            <w:pPr>
              <w:widowControl/>
              <w:jc w:val="center"/>
              <w:rPr>
                <w:rFonts w:hint="eastAsia" w:ascii="宋体" w:hAnsi="宋体" w:cs="宋体"/>
                <w:color w:val="auto"/>
                <w:kern w:val="0"/>
                <w:sz w:val="24"/>
              </w:rPr>
            </w:pPr>
            <w:r>
              <w:rPr>
                <w:rFonts w:hint="eastAsia" w:ascii="宋体" w:hAnsi="宋体" w:cs="宋体"/>
                <w:color w:val="auto"/>
                <w:kern w:val="0"/>
                <w:sz w:val="24"/>
              </w:rPr>
              <w:t>日志备份恢复</w:t>
            </w:r>
          </w:p>
        </w:tc>
        <w:tc>
          <w:tcPr>
            <w:tcW w:w="7087" w:type="dxa"/>
            <w:tcBorders>
              <w:top w:val="nil"/>
              <w:left w:val="nil"/>
              <w:bottom w:val="single" w:color="auto" w:sz="4" w:space="0"/>
              <w:right w:val="single" w:color="auto" w:sz="4" w:space="0"/>
            </w:tcBorders>
            <w:vAlign w:val="center"/>
          </w:tcPr>
          <w:p w14:paraId="354D7267">
            <w:pPr>
              <w:widowControl/>
              <w:rPr>
                <w:rFonts w:hint="eastAsia" w:ascii="宋体" w:hAnsi="宋体" w:cs="宋体"/>
                <w:color w:val="auto"/>
                <w:kern w:val="0"/>
                <w:sz w:val="24"/>
              </w:rPr>
            </w:pPr>
            <w:r>
              <w:rPr>
                <w:rFonts w:hint="eastAsia" w:ascii="宋体" w:hAnsi="宋体" w:cs="宋体"/>
                <w:color w:val="auto"/>
                <w:kern w:val="0"/>
                <w:sz w:val="24"/>
              </w:rPr>
              <w:t>系统应支持按类型、按日期(天)，手动、自动备份日志</w:t>
            </w:r>
          </w:p>
        </w:tc>
      </w:tr>
      <w:tr w14:paraId="2B78A300">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395879B1">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1A4C3255">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2F33F91F">
            <w:pPr>
              <w:widowControl/>
              <w:rPr>
                <w:rFonts w:hint="eastAsia" w:ascii="宋体" w:hAnsi="宋体" w:cs="宋体"/>
                <w:color w:val="auto"/>
                <w:kern w:val="0"/>
                <w:sz w:val="24"/>
              </w:rPr>
            </w:pPr>
            <w:r>
              <w:rPr>
                <w:rFonts w:hint="eastAsia" w:ascii="宋体" w:hAnsi="宋体" w:cs="宋体"/>
                <w:color w:val="auto"/>
                <w:kern w:val="0"/>
                <w:sz w:val="24"/>
              </w:rPr>
              <w:t>系统应支持设置日志存储备份策略，可设置备份周期、备份日志类型</w:t>
            </w:r>
          </w:p>
        </w:tc>
      </w:tr>
      <w:tr w14:paraId="709CB6F8">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05A924AC">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nil"/>
              <w:right w:val="single" w:color="auto" w:sz="4" w:space="0"/>
            </w:tcBorders>
            <w:vAlign w:val="center"/>
          </w:tcPr>
          <w:p w14:paraId="5931DE13">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59207C28">
            <w:pPr>
              <w:widowControl/>
              <w:rPr>
                <w:rFonts w:hint="eastAsia" w:ascii="宋体" w:hAnsi="宋体" w:cs="宋体"/>
                <w:color w:val="auto"/>
                <w:kern w:val="0"/>
                <w:sz w:val="24"/>
              </w:rPr>
            </w:pPr>
            <w:r>
              <w:rPr>
                <w:rFonts w:hint="eastAsia" w:ascii="宋体" w:hAnsi="宋体" w:cs="宋体"/>
                <w:color w:val="auto"/>
                <w:kern w:val="0"/>
                <w:sz w:val="24"/>
              </w:rPr>
              <w:t>★系统应支持将产生硬件故障但能WEB访问设备上的数据备机到新设备上，备机数据应包含日志源、事件规则、统计项、枚举值等，（需要提供加盖制造商公章的功能截图和具有CMA或CNAS认证的第三方权威检测机构出具的检测证明）</w:t>
            </w:r>
          </w:p>
        </w:tc>
      </w:tr>
      <w:tr w14:paraId="50796F6F">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1F827F0F">
            <w:pPr>
              <w:widowControl/>
              <w:jc w:val="left"/>
              <w:rPr>
                <w:rFonts w:hint="eastAsia" w:ascii="宋体" w:hAnsi="宋体" w:cs="宋体"/>
                <w:color w:val="auto"/>
                <w:kern w:val="0"/>
                <w:sz w:val="24"/>
              </w:rPr>
            </w:pPr>
          </w:p>
        </w:tc>
        <w:tc>
          <w:tcPr>
            <w:tcW w:w="1276" w:type="dxa"/>
            <w:vMerge w:val="restart"/>
            <w:tcBorders>
              <w:top w:val="single" w:color="auto" w:sz="4" w:space="0"/>
              <w:left w:val="single" w:color="auto" w:sz="4" w:space="0"/>
              <w:bottom w:val="single" w:color="000000" w:sz="4" w:space="0"/>
              <w:right w:val="single" w:color="auto" w:sz="4" w:space="0"/>
            </w:tcBorders>
            <w:vAlign w:val="center"/>
          </w:tcPr>
          <w:p w14:paraId="5BC4CFCD">
            <w:pPr>
              <w:widowControl/>
              <w:jc w:val="center"/>
              <w:rPr>
                <w:rFonts w:hint="eastAsia" w:ascii="宋体" w:hAnsi="宋体" w:cs="宋体"/>
                <w:color w:val="auto"/>
                <w:kern w:val="0"/>
                <w:sz w:val="24"/>
              </w:rPr>
            </w:pPr>
            <w:r>
              <w:rPr>
                <w:rFonts w:hint="eastAsia" w:ascii="宋体" w:hAnsi="宋体" w:cs="宋体"/>
                <w:color w:val="auto"/>
                <w:kern w:val="0"/>
                <w:sz w:val="24"/>
              </w:rPr>
              <w:t>日志查询分析</w:t>
            </w:r>
          </w:p>
        </w:tc>
        <w:tc>
          <w:tcPr>
            <w:tcW w:w="7087" w:type="dxa"/>
            <w:tcBorders>
              <w:top w:val="nil"/>
              <w:left w:val="nil"/>
              <w:bottom w:val="single" w:color="auto" w:sz="4" w:space="0"/>
              <w:right w:val="single" w:color="auto" w:sz="4" w:space="0"/>
            </w:tcBorders>
            <w:vAlign w:val="center"/>
          </w:tcPr>
          <w:p w14:paraId="38BFC451">
            <w:pPr>
              <w:widowControl/>
              <w:rPr>
                <w:rFonts w:hint="eastAsia" w:ascii="宋体" w:hAnsi="宋体" w:cs="宋体"/>
                <w:color w:val="auto"/>
                <w:kern w:val="0"/>
                <w:sz w:val="24"/>
              </w:rPr>
            </w:pPr>
            <w:r>
              <w:rPr>
                <w:rFonts w:hint="eastAsia" w:ascii="宋体" w:hAnsi="宋体" w:cs="宋体"/>
                <w:color w:val="auto"/>
                <w:kern w:val="0"/>
                <w:sz w:val="24"/>
              </w:rPr>
              <w:t>系统应支持实时日志查询、历史日志查询，实时日志查询支持3分钟、5分钟、10分钟、30分钟不同频次刷新频率</w:t>
            </w:r>
          </w:p>
        </w:tc>
      </w:tr>
      <w:tr w14:paraId="6CEBC2B9">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5B2E0109">
            <w:pPr>
              <w:widowControl/>
              <w:jc w:val="left"/>
              <w:rPr>
                <w:rFonts w:hint="eastAsia" w:ascii="宋体" w:hAnsi="宋体" w:cs="宋体"/>
                <w:color w:val="auto"/>
                <w:kern w:val="0"/>
                <w:sz w:val="24"/>
              </w:rPr>
            </w:pPr>
          </w:p>
        </w:tc>
        <w:tc>
          <w:tcPr>
            <w:tcW w:w="1276" w:type="dxa"/>
            <w:vMerge w:val="continue"/>
            <w:tcBorders>
              <w:top w:val="single" w:color="auto" w:sz="4" w:space="0"/>
              <w:left w:val="single" w:color="auto" w:sz="4" w:space="0"/>
              <w:bottom w:val="single" w:color="000000" w:sz="4" w:space="0"/>
              <w:right w:val="single" w:color="auto" w:sz="4" w:space="0"/>
            </w:tcBorders>
            <w:vAlign w:val="center"/>
          </w:tcPr>
          <w:p w14:paraId="33BA1C5C">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5677C5A3">
            <w:pPr>
              <w:widowControl/>
              <w:rPr>
                <w:rFonts w:hint="eastAsia" w:ascii="宋体" w:hAnsi="宋体" w:cs="宋体"/>
                <w:color w:val="auto"/>
                <w:kern w:val="0"/>
                <w:sz w:val="24"/>
              </w:rPr>
            </w:pPr>
            <w:r>
              <w:rPr>
                <w:rFonts w:hint="eastAsia" w:ascii="宋体" w:hAnsi="宋体" w:cs="宋体"/>
                <w:color w:val="auto"/>
                <w:kern w:val="0"/>
                <w:sz w:val="24"/>
              </w:rPr>
              <w:t>系统应支持从日志属性或资产属性对日志进行检索，日志属性可自定义添加字段为检索条件，资产属性可基于资产标签进行二次检索</w:t>
            </w:r>
          </w:p>
        </w:tc>
      </w:tr>
      <w:tr w14:paraId="036F1B0F">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70722C92">
            <w:pPr>
              <w:widowControl/>
              <w:jc w:val="left"/>
              <w:rPr>
                <w:rFonts w:hint="eastAsia" w:ascii="宋体" w:hAnsi="宋体" w:cs="宋体"/>
                <w:color w:val="auto"/>
                <w:kern w:val="0"/>
                <w:sz w:val="24"/>
              </w:rPr>
            </w:pPr>
          </w:p>
        </w:tc>
        <w:tc>
          <w:tcPr>
            <w:tcW w:w="1276" w:type="dxa"/>
            <w:vMerge w:val="continue"/>
            <w:tcBorders>
              <w:top w:val="single" w:color="auto" w:sz="4" w:space="0"/>
              <w:left w:val="single" w:color="auto" w:sz="4" w:space="0"/>
              <w:bottom w:val="single" w:color="000000" w:sz="4" w:space="0"/>
              <w:right w:val="single" w:color="auto" w:sz="4" w:space="0"/>
            </w:tcBorders>
            <w:vAlign w:val="center"/>
          </w:tcPr>
          <w:p w14:paraId="025C091E">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0CB9B4B5">
            <w:pPr>
              <w:widowControl/>
              <w:rPr>
                <w:rFonts w:hint="eastAsia" w:ascii="宋体" w:hAnsi="宋体" w:cs="宋体"/>
                <w:color w:val="auto"/>
                <w:kern w:val="0"/>
                <w:sz w:val="24"/>
              </w:rPr>
            </w:pPr>
            <w:r>
              <w:rPr>
                <w:rFonts w:hint="eastAsia" w:ascii="宋体" w:hAnsi="宋体" w:cs="宋体"/>
                <w:color w:val="auto"/>
                <w:kern w:val="0"/>
                <w:sz w:val="24"/>
              </w:rPr>
              <w:t xml:space="preserve">系统应支持全量日志查询，无需加载冷数据 </w:t>
            </w:r>
          </w:p>
        </w:tc>
      </w:tr>
      <w:tr w14:paraId="00342A27">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67BFC762">
            <w:pPr>
              <w:widowControl/>
              <w:jc w:val="left"/>
              <w:rPr>
                <w:rFonts w:hint="eastAsia" w:ascii="宋体" w:hAnsi="宋体" w:cs="宋体"/>
                <w:color w:val="auto"/>
                <w:kern w:val="0"/>
                <w:sz w:val="24"/>
              </w:rPr>
            </w:pPr>
          </w:p>
        </w:tc>
        <w:tc>
          <w:tcPr>
            <w:tcW w:w="1276" w:type="dxa"/>
            <w:vMerge w:val="restart"/>
            <w:tcBorders>
              <w:top w:val="nil"/>
              <w:left w:val="single" w:color="auto" w:sz="4" w:space="0"/>
              <w:bottom w:val="single" w:color="000000" w:sz="4" w:space="0"/>
              <w:right w:val="single" w:color="auto" w:sz="4" w:space="0"/>
            </w:tcBorders>
            <w:vAlign w:val="center"/>
          </w:tcPr>
          <w:p w14:paraId="51101EA0">
            <w:pPr>
              <w:widowControl/>
              <w:jc w:val="center"/>
              <w:rPr>
                <w:rFonts w:hint="eastAsia" w:ascii="宋体" w:hAnsi="宋体" w:cs="宋体"/>
                <w:color w:val="auto"/>
                <w:kern w:val="0"/>
                <w:sz w:val="24"/>
              </w:rPr>
            </w:pPr>
            <w:r>
              <w:rPr>
                <w:rFonts w:hint="eastAsia" w:ascii="宋体" w:hAnsi="宋体" w:cs="宋体"/>
                <w:color w:val="auto"/>
                <w:kern w:val="0"/>
                <w:sz w:val="24"/>
              </w:rPr>
              <w:t>事件告警</w:t>
            </w:r>
          </w:p>
        </w:tc>
        <w:tc>
          <w:tcPr>
            <w:tcW w:w="7087" w:type="dxa"/>
            <w:tcBorders>
              <w:top w:val="nil"/>
              <w:left w:val="nil"/>
              <w:bottom w:val="single" w:color="auto" w:sz="4" w:space="0"/>
              <w:right w:val="single" w:color="auto" w:sz="4" w:space="0"/>
            </w:tcBorders>
            <w:vAlign w:val="center"/>
          </w:tcPr>
          <w:p w14:paraId="0AD6670A">
            <w:pPr>
              <w:widowControl/>
              <w:rPr>
                <w:rFonts w:hint="eastAsia" w:ascii="宋体" w:hAnsi="宋体" w:cs="宋体"/>
                <w:color w:val="auto"/>
                <w:kern w:val="0"/>
                <w:sz w:val="24"/>
              </w:rPr>
            </w:pPr>
            <w:r>
              <w:rPr>
                <w:rFonts w:hint="eastAsia" w:ascii="宋体" w:hAnsi="宋体" w:cs="宋体"/>
                <w:color w:val="auto"/>
                <w:kern w:val="0"/>
                <w:sz w:val="24"/>
              </w:rPr>
              <w:t>系统应内置事件分类，并支持自定义事件分类，可定义事件分类的风险级别</w:t>
            </w:r>
          </w:p>
        </w:tc>
      </w:tr>
      <w:tr w14:paraId="24F84A28">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48202FCE">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4AFD5D7F">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0A244786">
            <w:pPr>
              <w:widowControl/>
              <w:rPr>
                <w:rFonts w:hint="eastAsia" w:ascii="宋体" w:hAnsi="宋体" w:cs="宋体"/>
                <w:color w:val="auto"/>
                <w:kern w:val="0"/>
                <w:sz w:val="24"/>
              </w:rPr>
            </w:pPr>
            <w:r>
              <w:rPr>
                <w:rFonts w:hint="eastAsia" w:ascii="宋体" w:hAnsi="宋体" w:cs="宋体"/>
                <w:color w:val="auto"/>
                <w:kern w:val="0"/>
                <w:sz w:val="24"/>
              </w:rPr>
              <w:t>★系统应支持多源事件关联分析能力，包括单源过滤模式、多源时序模式和多源关联模式。（需要提供加盖制造商公章的功能截图）</w:t>
            </w:r>
          </w:p>
        </w:tc>
      </w:tr>
      <w:tr w14:paraId="50247229">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4E3625C6">
            <w:pPr>
              <w:widowControl/>
              <w:jc w:val="left"/>
              <w:rPr>
                <w:rFonts w:hint="eastAsia" w:ascii="宋体" w:hAnsi="宋体" w:cs="宋体"/>
                <w:color w:val="auto"/>
                <w:kern w:val="0"/>
                <w:sz w:val="24"/>
              </w:rPr>
            </w:pPr>
          </w:p>
        </w:tc>
        <w:tc>
          <w:tcPr>
            <w:tcW w:w="1276" w:type="dxa"/>
            <w:vMerge w:val="restart"/>
            <w:tcBorders>
              <w:top w:val="nil"/>
              <w:left w:val="single" w:color="auto" w:sz="4" w:space="0"/>
              <w:bottom w:val="single" w:color="000000" w:sz="4" w:space="0"/>
              <w:right w:val="single" w:color="auto" w:sz="4" w:space="0"/>
            </w:tcBorders>
            <w:vAlign w:val="center"/>
          </w:tcPr>
          <w:p w14:paraId="4EC3BD66">
            <w:pPr>
              <w:widowControl/>
              <w:jc w:val="center"/>
              <w:rPr>
                <w:rFonts w:hint="eastAsia" w:ascii="宋体" w:hAnsi="宋体" w:cs="宋体"/>
                <w:color w:val="auto"/>
                <w:kern w:val="0"/>
                <w:sz w:val="24"/>
              </w:rPr>
            </w:pPr>
            <w:r>
              <w:rPr>
                <w:rFonts w:hint="eastAsia" w:ascii="宋体" w:hAnsi="宋体" w:cs="宋体"/>
                <w:color w:val="auto"/>
                <w:kern w:val="0"/>
                <w:sz w:val="24"/>
              </w:rPr>
              <w:t>资产管理</w:t>
            </w:r>
          </w:p>
        </w:tc>
        <w:tc>
          <w:tcPr>
            <w:tcW w:w="7087" w:type="dxa"/>
            <w:tcBorders>
              <w:top w:val="nil"/>
              <w:left w:val="nil"/>
              <w:bottom w:val="single" w:color="auto" w:sz="4" w:space="0"/>
              <w:right w:val="single" w:color="auto" w:sz="4" w:space="0"/>
            </w:tcBorders>
            <w:vAlign w:val="center"/>
          </w:tcPr>
          <w:p w14:paraId="7CC7A5E0">
            <w:pPr>
              <w:widowControl/>
              <w:rPr>
                <w:rFonts w:hint="eastAsia" w:ascii="宋体" w:hAnsi="宋体" w:cs="宋体"/>
                <w:color w:val="auto"/>
                <w:kern w:val="0"/>
                <w:sz w:val="24"/>
              </w:rPr>
            </w:pPr>
            <w:r>
              <w:rPr>
                <w:rFonts w:hint="eastAsia" w:ascii="宋体" w:hAnsi="宋体" w:cs="宋体"/>
                <w:color w:val="auto"/>
                <w:kern w:val="0"/>
                <w:sz w:val="24"/>
              </w:rPr>
              <w:t>系统应支持资产属性配置</w:t>
            </w:r>
          </w:p>
        </w:tc>
      </w:tr>
      <w:tr w14:paraId="0AAA5A33">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787F68D3">
            <w:pPr>
              <w:widowControl/>
              <w:jc w:val="left"/>
              <w:rPr>
                <w:rFonts w:hint="eastAsia" w:ascii="宋体" w:hAnsi="宋体" w:cs="宋体"/>
                <w:color w:val="auto"/>
                <w:kern w:val="0"/>
                <w:sz w:val="24"/>
              </w:rPr>
            </w:pPr>
          </w:p>
        </w:tc>
        <w:tc>
          <w:tcPr>
            <w:tcW w:w="1276" w:type="dxa"/>
            <w:vMerge w:val="continue"/>
            <w:tcBorders>
              <w:top w:val="nil"/>
              <w:left w:val="single" w:color="auto" w:sz="4" w:space="0"/>
              <w:bottom w:val="single" w:color="000000" w:sz="4" w:space="0"/>
              <w:right w:val="single" w:color="auto" w:sz="4" w:space="0"/>
            </w:tcBorders>
            <w:vAlign w:val="center"/>
          </w:tcPr>
          <w:p w14:paraId="2FBF8859">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057B746C">
            <w:pPr>
              <w:widowControl/>
              <w:rPr>
                <w:rFonts w:hint="eastAsia" w:ascii="宋体" w:hAnsi="宋体" w:cs="宋体"/>
                <w:color w:val="auto"/>
                <w:kern w:val="0"/>
                <w:sz w:val="24"/>
              </w:rPr>
            </w:pPr>
            <w:r>
              <w:rPr>
                <w:rFonts w:hint="eastAsia" w:ascii="宋体" w:hAnsi="宋体" w:cs="宋体"/>
                <w:color w:val="auto"/>
                <w:kern w:val="0"/>
                <w:sz w:val="24"/>
              </w:rPr>
              <w:t>★系统应支持资产监控，支持根据设备类别对资产进行分类，根据IP可下钻至资产的整体数据、告警及关联事件。（需要提供加盖制造商公章的功能截图）</w:t>
            </w:r>
          </w:p>
        </w:tc>
      </w:tr>
      <w:tr w14:paraId="68BE5FB0">
        <w:tblPrEx>
          <w:tblCellMar>
            <w:top w:w="0" w:type="dxa"/>
            <w:left w:w="108" w:type="dxa"/>
            <w:bottom w:w="0" w:type="dxa"/>
            <w:right w:w="108" w:type="dxa"/>
          </w:tblCellMar>
        </w:tblPrEx>
        <w:trPr>
          <w:trHeight w:val="480" w:hRule="atLeast"/>
        </w:trPr>
        <w:tc>
          <w:tcPr>
            <w:tcW w:w="846" w:type="dxa"/>
            <w:vMerge w:val="continue"/>
            <w:tcBorders>
              <w:top w:val="nil"/>
              <w:left w:val="single" w:color="auto" w:sz="4" w:space="0"/>
              <w:bottom w:val="nil"/>
              <w:right w:val="single" w:color="auto" w:sz="4" w:space="0"/>
            </w:tcBorders>
            <w:vAlign w:val="center"/>
          </w:tcPr>
          <w:p w14:paraId="4E0ADFBB">
            <w:pPr>
              <w:widowControl/>
              <w:jc w:val="left"/>
              <w:rPr>
                <w:rFonts w:hint="eastAsia" w:ascii="宋体" w:hAnsi="宋体" w:cs="宋体"/>
                <w:color w:val="auto"/>
                <w:kern w:val="0"/>
                <w:sz w:val="24"/>
              </w:rPr>
            </w:pPr>
          </w:p>
        </w:tc>
        <w:tc>
          <w:tcPr>
            <w:tcW w:w="1276" w:type="dxa"/>
            <w:tcBorders>
              <w:top w:val="nil"/>
              <w:left w:val="single" w:color="auto" w:sz="4" w:space="0"/>
              <w:bottom w:val="single" w:color="000000" w:sz="4" w:space="0"/>
              <w:right w:val="single" w:color="auto" w:sz="4" w:space="0"/>
            </w:tcBorders>
            <w:vAlign w:val="center"/>
          </w:tcPr>
          <w:p w14:paraId="17A1DA6C">
            <w:pPr>
              <w:widowControl/>
              <w:jc w:val="center"/>
              <w:rPr>
                <w:rFonts w:hint="eastAsia" w:ascii="宋体" w:hAnsi="宋体" w:cs="宋体"/>
                <w:color w:val="auto"/>
                <w:kern w:val="0"/>
                <w:sz w:val="24"/>
              </w:rPr>
            </w:pPr>
            <w:r>
              <w:rPr>
                <w:rFonts w:hint="eastAsia" w:ascii="宋体" w:hAnsi="宋体" w:cs="宋体"/>
                <w:color w:val="auto"/>
                <w:kern w:val="0"/>
                <w:sz w:val="24"/>
              </w:rPr>
              <w:t>报表管理</w:t>
            </w:r>
          </w:p>
        </w:tc>
        <w:tc>
          <w:tcPr>
            <w:tcW w:w="7087" w:type="dxa"/>
            <w:tcBorders>
              <w:top w:val="nil"/>
              <w:left w:val="nil"/>
              <w:bottom w:val="single" w:color="auto" w:sz="4" w:space="0"/>
              <w:right w:val="single" w:color="auto" w:sz="4" w:space="0"/>
            </w:tcBorders>
            <w:vAlign w:val="center"/>
          </w:tcPr>
          <w:p w14:paraId="3AB5F0C6">
            <w:pPr>
              <w:widowControl/>
              <w:rPr>
                <w:rFonts w:hint="eastAsia" w:ascii="宋体" w:hAnsi="宋体" w:cs="宋体"/>
                <w:color w:val="auto"/>
                <w:kern w:val="0"/>
                <w:sz w:val="24"/>
              </w:rPr>
            </w:pPr>
            <w:r>
              <w:rPr>
                <w:rFonts w:hint="eastAsia" w:ascii="宋体" w:hAnsi="宋体" w:cs="宋体"/>
                <w:color w:val="auto"/>
                <w:kern w:val="0"/>
                <w:sz w:val="24"/>
              </w:rPr>
              <w:t>★系统应能够按照多种维度统计日志信息，包括但不限于攻击日志、审计过滤、恶意程序、防火墙、主机报表、应用服务器、网络设备、Windows审计、Linux审计、终端审计、SOX合规、PCI合规、ISO 27001合规等多种场景。（需要提供加盖制造商公章的功能截图）</w:t>
            </w:r>
          </w:p>
        </w:tc>
      </w:tr>
      <w:tr w14:paraId="5778EC83">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7A812A6E">
            <w:pPr>
              <w:widowControl/>
              <w:jc w:val="left"/>
              <w:rPr>
                <w:rFonts w:hint="eastAsia" w:ascii="宋体" w:hAnsi="宋体" w:cs="宋体"/>
                <w:color w:val="auto"/>
                <w:kern w:val="0"/>
                <w:sz w:val="24"/>
              </w:rPr>
            </w:pPr>
          </w:p>
        </w:tc>
        <w:tc>
          <w:tcPr>
            <w:tcW w:w="1276" w:type="dxa"/>
            <w:tcBorders>
              <w:top w:val="nil"/>
              <w:left w:val="single" w:color="auto" w:sz="4" w:space="0"/>
              <w:bottom w:val="single" w:color="000000" w:sz="4" w:space="0"/>
              <w:right w:val="single" w:color="auto" w:sz="4" w:space="0"/>
            </w:tcBorders>
            <w:noWrap/>
            <w:vAlign w:val="center"/>
          </w:tcPr>
          <w:p w14:paraId="4CFEE20A">
            <w:pPr>
              <w:widowControl/>
              <w:jc w:val="center"/>
              <w:rPr>
                <w:rFonts w:hint="eastAsia" w:ascii="宋体" w:hAnsi="宋体" w:cs="宋体"/>
                <w:color w:val="auto"/>
                <w:kern w:val="0"/>
                <w:sz w:val="24"/>
              </w:rPr>
            </w:pPr>
            <w:r>
              <w:rPr>
                <w:rFonts w:hint="eastAsia" w:ascii="宋体" w:hAnsi="宋体" w:cs="宋体"/>
                <w:color w:val="auto"/>
                <w:kern w:val="0"/>
                <w:sz w:val="24"/>
              </w:rPr>
              <w:t>用户管理</w:t>
            </w:r>
          </w:p>
        </w:tc>
        <w:tc>
          <w:tcPr>
            <w:tcW w:w="7087" w:type="dxa"/>
            <w:tcBorders>
              <w:top w:val="nil"/>
              <w:left w:val="nil"/>
              <w:bottom w:val="single" w:color="auto" w:sz="4" w:space="0"/>
              <w:right w:val="single" w:color="auto" w:sz="4" w:space="0"/>
            </w:tcBorders>
            <w:vAlign w:val="center"/>
          </w:tcPr>
          <w:p w14:paraId="5EA3654E">
            <w:pPr>
              <w:widowControl/>
              <w:rPr>
                <w:rFonts w:hint="eastAsia" w:ascii="宋体" w:hAnsi="宋体" w:cs="宋体"/>
                <w:color w:val="auto"/>
                <w:kern w:val="0"/>
                <w:sz w:val="24"/>
              </w:rPr>
            </w:pPr>
            <w:r>
              <w:rPr>
                <w:rFonts w:hint="eastAsia" w:ascii="宋体" w:hAnsi="宋体" w:cs="宋体"/>
                <w:color w:val="auto"/>
                <w:kern w:val="0"/>
                <w:sz w:val="24"/>
              </w:rPr>
              <w:t>★系统应该支持国密(SM)多因子认证登录能力，并可指定用户。（需要提供加盖制造商公章的功能截图）</w:t>
            </w:r>
          </w:p>
        </w:tc>
      </w:tr>
      <w:tr w14:paraId="41C32D3B">
        <w:tblPrEx>
          <w:tblCellMar>
            <w:top w:w="0" w:type="dxa"/>
            <w:left w:w="108" w:type="dxa"/>
            <w:bottom w:w="0" w:type="dxa"/>
            <w:right w:w="108" w:type="dxa"/>
          </w:tblCellMar>
        </w:tblPrEx>
        <w:trPr>
          <w:trHeight w:val="280" w:hRule="atLeast"/>
        </w:trPr>
        <w:tc>
          <w:tcPr>
            <w:tcW w:w="846" w:type="dxa"/>
            <w:vMerge w:val="continue"/>
            <w:tcBorders>
              <w:top w:val="nil"/>
              <w:left w:val="single" w:color="auto" w:sz="4" w:space="0"/>
              <w:bottom w:val="nil"/>
              <w:right w:val="single" w:color="auto" w:sz="4" w:space="0"/>
            </w:tcBorders>
            <w:vAlign w:val="center"/>
          </w:tcPr>
          <w:p w14:paraId="2D3EB787">
            <w:pPr>
              <w:widowControl/>
              <w:jc w:val="left"/>
              <w:rPr>
                <w:rFonts w:hint="eastAsia" w:ascii="宋体" w:hAnsi="宋体" w:cs="宋体"/>
                <w:color w:val="auto"/>
                <w:kern w:val="0"/>
                <w:sz w:val="24"/>
              </w:rPr>
            </w:pPr>
          </w:p>
        </w:tc>
        <w:tc>
          <w:tcPr>
            <w:tcW w:w="1276" w:type="dxa"/>
            <w:tcBorders>
              <w:top w:val="single" w:color="auto" w:sz="4" w:space="0"/>
              <w:left w:val="nil"/>
              <w:bottom w:val="nil"/>
              <w:right w:val="single" w:color="auto" w:sz="4" w:space="0"/>
            </w:tcBorders>
            <w:vAlign w:val="center"/>
          </w:tcPr>
          <w:p w14:paraId="0EF5FDED">
            <w:pPr>
              <w:widowControl/>
              <w:jc w:val="center"/>
              <w:rPr>
                <w:rFonts w:hint="eastAsia" w:ascii="宋体" w:hAnsi="宋体" w:cs="宋体"/>
                <w:color w:val="auto"/>
                <w:kern w:val="0"/>
                <w:sz w:val="24"/>
              </w:rPr>
            </w:pPr>
            <w:r>
              <w:rPr>
                <w:rFonts w:hint="eastAsia" w:ascii="宋体" w:hAnsi="宋体" w:cs="宋体"/>
                <w:color w:val="auto"/>
                <w:kern w:val="0"/>
                <w:sz w:val="24"/>
              </w:rPr>
              <w:t>系统部署</w:t>
            </w:r>
          </w:p>
        </w:tc>
        <w:tc>
          <w:tcPr>
            <w:tcW w:w="7087" w:type="dxa"/>
            <w:tcBorders>
              <w:top w:val="nil"/>
              <w:left w:val="nil"/>
              <w:bottom w:val="single" w:color="auto" w:sz="4" w:space="0"/>
              <w:right w:val="single" w:color="auto" w:sz="4" w:space="0"/>
            </w:tcBorders>
            <w:vAlign w:val="center"/>
          </w:tcPr>
          <w:p w14:paraId="6C1BC01E">
            <w:pPr>
              <w:widowControl/>
              <w:rPr>
                <w:rFonts w:hint="eastAsia" w:ascii="宋体" w:hAnsi="宋体" w:cs="宋体"/>
                <w:color w:val="auto"/>
                <w:kern w:val="0"/>
                <w:sz w:val="24"/>
              </w:rPr>
            </w:pPr>
            <w:r>
              <w:rPr>
                <w:rFonts w:hint="eastAsia" w:ascii="宋体" w:hAnsi="宋体" w:cs="宋体"/>
                <w:color w:val="auto"/>
                <w:kern w:val="0"/>
                <w:sz w:val="24"/>
              </w:rPr>
              <w:t>系统应支持IPv4、IPv6部署</w:t>
            </w:r>
          </w:p>
        </w:tc>
      </w:tr>
      <w:tr w14:paraId="6F75EA60">
        <w:tblPrEx>
          <w:tblCellMar>
            <w:top w:w="0" w:type="dxa"/>
            <w:left w:w="108" w:type="dxa"/>
            <w:bottom w:w="0" w:type="dxa"/>
            <w:right w:w="108" w:type="dxa"/>
          </w:tblCellMar>
        </w:tblPrEx>
        <w:trPr>
          <w:trHeight w:val="280" w:hRule="atLeast"/>
        </w:trPr>
        <w:tc>
          <w:tcPr>
            <w:tcW w:w="846" w:type="dxa"/>
            <w:vMerge w:val="restart"/>
            <w:tcBorders>
              <w:top w:val="single" w:color="auto" w:sz="4" w:space="0"/>
              <w:left w:val="single" w:color="auto" w:sz="4" w:space="0"/>
              <w:bottom w:val="single" w:color="auto" w:sz="4" w:space="0"/>
              <w:right w:val="single" w:color="auto" w:sz="4" w:space="0"/>
            </w:tcBorders>
            <w:vAlign w:val="center"/>
          </w:tcPr>
          <w:p w14:paraId="429F2009">
            <w:pPr>
              <w:widowControl/>
              <w:jc w:val="center"/>
              <w:rPr>
                <w:rFonts w:hint="eastAsia" w:ascii="宋体" w:hAnsi="宋体" w:cs="宋体"/>
                <w:color w:val="auto"/>
                <w:kern w:val="0"/>
                <w:sz w:val="24"/>
              </w:rPr>
            </w:pPr>
            <w:r>
              <w:rPr>
                <w:rFonts w:hint="eastAsia" w:ascii="宋体" w:hAnsi="宋体" w:cs="宋体"/>
                <w:color w:val="auto"/>
                <w:kern w:val="0"/>
                <w:sz w:val="24"/>
              </w:rPr>
              <w:t>资质</w:t>
            </w:r>
          </w:p>
        </w:tc>
        <w:tc>
          <w:tcPr>
            <w:tcW w:w="1276" w:type="dxa"/>
            <w:vMerge w:val="restart"/>
            <w:tcBorders>
              <w:top w:val="single" w:color="auto" w:sz="4" w:space="0"/>
              <w:left w:val="single" w:color="auto" w:sz="4" w:space="0"/>
              <w:bottom w:val="single" w:color="auto" w:sz="4" w:space="0"/>
              <w:right w:val="single" w:color="auto" w:sz="4" w:space="0"/>
            </w:tcBorders>
            <w:vAlign w:val="center"/>
          </w:tcPr>
          <w:p w14:paraId="5A0A5906">
            <w:pPr>
              <w:widowControl/>
              <w:jc w:val="center"/>
              <w:rPr>
                <w:rFonts w:hint="eastAsia" w:ascii="宋体" w:hAnsi="宋体" w:cs="宋体"/>
                <w:color w:val="auto"/>
                <w:kern w:val="0"/>
                <w:sz w:val="24"/>
              </w:rPr>
            </w:pPr>
            <w:r>
              <w:rPr>
                <w:rFonts w:hint="eastAsia" w:ascii="宋体" w:hAnsi="宋体" w:cs="宋体"/>
                <w:color w:val="auto"/>
                <w:kern w:val="0"/>
                <w:sz w:val="24"/>
              </w:rPr>
              <w:t>产品资质</w:t>
            </w:r>
          </w:p>
        </w:tc>
        <w:tc>
          <w:tcPr>
            <w:tcW w:w="7087" w:type="dxa"/>
            <w:tcBorders>
              <w:top w:val="nil"/>
              <w:left w:val="nil"/>
              <w:bottom w:val="single" w:color="auto" w:sz="4" w:space="0"/>
              <w:right w:val="single" w:color="auto" w:sz="4" w:space="0"/>
            </w:tcBorders>
            <w:vAlign w:val="center"/>
          </w:tcPr>
          <w:p w14:paraId="1F8ACE6A">
            <w:pPr>
              <w:widowControl/>
              <w:rPr>
                <w:rFonts w:hint="eastAsia" w:ascii="宋体" w:hAnsi="宋体" w:cs="宋体"/>
                <w:color w:val="auto"/>
                <w:kern w:val="0"/>
                <w:sz w:val="24"/>
              </w:rPr>
            </w:pPr>
            <w:r>
              <w:rPr>
                <w:rFonts w:hint="eastAsia" w:ascii="宋体" w:hAnsi="宋体" w:cs="宋体"/>
                <w:color w:val="auto"/>
                <w:kern w:val="0"/>
                <w:sz w:val="24"/>
              </w:rPr>
              <w:t>★产品需具有《网络安全专用产品安全检测证书》或《网络关键设备和网络安全专用产品安全认证证书》，提供证书复印件证明并加盖制造商公章</w:t>
            </w:r>
          </w:p>
        </w:tc>
      </w:tr>
      <w:tr w14:paraId="7A588ED0">
        <w:tblPrEx>
          <w:tblCellMar>
            <w:top w:w="0" w:type="dxa"/>
            <w:left w:w="108" w:type="dxa"/>
            <w:bottom w:w="0" w:type="dxa"/>
            <w:right w:w="108" w:type="dxa"/>
          </w:tblCellMar>
        </w:tblPrEx>
        <w:trPr>
          <w:trHeight w:val="28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3551FA23">
            <w:pPr>
              <w:widowControl/>
              <w:jc w:val="center"/>
              <w:rPr>
                <w:rFonts w:hint="eastAsia" w:ascii="宋体" w:hAnsi="宋体" w:cs="宋体"/>
                <w:color w:val="auto"/>
                <w:kern w:val="0"/>
                <w:sz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DC382EA">
            <w:pPr>
              <w:widowControl/>
              <w:jc w:val="center"/>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25BC9C61">
            <w:pPr>
              <w:widowControl/>
              <w:rPr>
                <w:rFonts w:hint="eastAsia" w:ascii="宋体" w:hAnsi="宋体" w:cs="宋体"/>
                <w:color w:val="auto"/>
                <w:kern w:val="0"/>
                <w:sz w:val="24"/>
              </w:rPr>
            </w:pPr>
            <w:r>
              <w:rPr>
                <w:rFonts w:hint="eastAsia" w:ascii="宋体" w:hAnsi="宋体" w:cs="宋体"/>
                <w:color w:val="auto"/>
                <w:kern w:val="0"/>
                <w:sz w:val="24"/>
              </w:rPr>
              <w:t>★中国信息安全测评中心颁发的《国家信息安全测评信息技术产品安全测评证书》，级别至少为EAL3+，提供证书复印件证明并加盖制造商公章</w:t>
            </w:r>
          </w:p>
        </w:tc>
      </w:tr>
      <w:tr w14:paraId="43090AA0">
        <w:tblPrEx>
          <w:tblCellMar>
            <w:top w:w="0" w:type="dxa"/>
            <w:left w:w="108" w:type="dxa"/>
            <w:bottom w:w="0" w:type="dxa"/>
            <w:right w:w="108" w:type="dxa"/>
          </w:tblCellMar>
        </w:tblPrEx>
        <w:trPr>
          <w:trHeight w:val="280" w:hRule="atLeast"/>
        </w:trPr>
        <w:tc>
          <w:tcPr>
            <w:tcW w:w="846" w:type="dxa"/>
            <w:vMerge w:val="continue"/>
            <w:tcBorders>
              <w:top w:val="single" w:color="auto" w:sz="4" w:space="0"/>
              <w:left w:val="single" w:color="auto" w:sz="4" w:space="0"/>
              <w:bottom w:val="single" w:color="auto" w:sz="4" w:space="0"/>
              <w:right w:val="single" w:color="auto" w:sz="4" w:space="0"/>
            </w:tcBorders>
            <w:vAlign w:val="center"/>
          </w:tcPr>
          <w:p w14:paraId="30AB86F1">
            <w:pPr>
              <w:widowControl/>
              <w:jc w:val="left"/>
              <w:rPr>
                <w:rFonts w:hint="eastAsia" w:ascii="宋体" w:hAnsi="宋体" w:cs="宋体"/>
                <w:color w:val="auto"/>
                <w:kern w:val="0"/>
                <w:sz w:val="24"/>
              </w:rPr>
            </w:pPr>
          </w:p>
        </w:tc>
        <w:tc>
          <w:tcPr>
            <w:tcW w:w="1276" w:type="dxa"/>
            <w:vMerge w:val="continue"/>
            <w:tcBorders>
              <w:top w:val="single" w:color="auto" w:sz="4" w:space="0"/>
              <w:left w:val="single" w:color="auto" w:sz="4" w:space="0"/>
              <w:bottom w:val="single" w:color="auto" w:sz="4" w:space="0"/>
              <w:right w:val="single" w:color="auto" w:sz="4" w:space="0"/>
            </w:tcBorders>
            <w:vAlign w:val="center"/>
          </w:tcPr>
          <w:p w14:paraId="064195D5">
            <w:pPr>
              <w:widowControl/>
              <w:jc w:val="left"/>
              <w:rPr>
                <w:rFonts w:hint="eastAsia" w:ascii="宋体" w:hAnsi="宋体" w:cs="宋体"/>
                <w:color w:val="auto"/>
                <w:kern w:val="0"/>
                <w:sz w:val="24"/>
              </w:rPr>
            </w:pPr>
          </w:p>
        </w:tc>
        <w:tc>
          <w:tcPr>
            <w:tcW w:w="7087" w:type="dxa"/>
            <w:tcBorders>
              <w:top w:val="nil"/>
              <w:left w:val="nil"/>
              <w:bottom w:val="single" w:color="auto" w:sz="4" w:space="0"/>
              <w:right w:val="single" w:color="auto" w:sz="4" w:space="0"/>
            </w:tcBorders>
            <w:vAlign w:val="center"/>
          </w:tcPr>
          <w:p w14:paraId="68A28BD3">
            <w:pPr>
              <w:widowControl/>
              <w:rPr>
                <w:rFonts w:hint="eastAsia" w:ascii="宋体" w:hAnsi="宋体" w:cs="宋体"/>
                <w:color w:val="auto"/>
                <w:kern w:val="0"/>
                <w:sz w:val="24"/>
              </w:rPr>
            </w:pPr>
            <w:r>
              <w:rPr>
                <w:rFonts w:hint="eastAsia" w:ascii="宋体" w:hAnsi="宋体" w:cs="宋体"/>
                <w:color w:val="auto"/>
                <w:kern w:val="0"/>
                <w:sz w:val="24"/>
              </w:rPr>
              <w:t>国家版权局颁发的《计算机软件著作权登记证书》，提供证书复印件证明并加盖制造商公章</w:t>
            </w:r>
          </w:p>
        </w:tc>
      </w:tr>
      <w:tr w14:paraId="48567377">
        <w:tblPrEx>
          <w:tblCellMar>
            <w:top w:w="0" w:type="dxa"/>
            <w:left w:w="108" w:type="dxa"/>
            <w:bottom w:w="0" w:type="dxa"/>
            <w:right w:w="108" w:type="dxa"/>
          </w:tblCellMar>
        </w:tblPrEx>
        <w:trPr>
          <w:trHeight w:val="280" w:hRule="atLeast"/>
        </w:trPr>
        <w:tc>
          <w:tcPr>
            <w:tcW w:w="846" w:type="dxa"/>
            <w:tcBorders>
              <w:top w:val="single" w:color="auto" w:sz="4" w:space="0"/>
              <w:left w:val="single" w:color="auto" w:sz="4" w:space="0"/>
              <w:bottom w:val="single" w:color="auto" w:sz="4" w:space="0"/>
              <w:right w:val="single" w:color="auto" w:sz="4" w:space="0"/>
            </w:tcBorders>
            <w:vAlign w:val="center"/>
          </w:tcPr>
          <w:p w14:paraId="50857A0D">
            <w:pPr>
              <w:widowControl/>
              <w:rPr>
                <w:rFonts w:hint="eastAsia" w:ascii="宋体" w:hAnsi="宋体" w:cs="宋体"/>
                <w:color w:val="auto"/>
                <w:kern w:val="0"/>
                <w:sz w:val="24"/>
              </w:rPr>
            </w:pPr>
            <w:r>
              <w:rPr>
                <w:rFonts w:hint="eastAsia" w:ascii="宋体" w:hAnsi="宋体" w:cs="宋体"/>
                <w:color w:val="auto"/>
                <w:kern w:val="0"/>
                <w:sz w:val="24"/>
              </w:rPr>
              <w:t>★</w:t>
            </w:r>
            <w:r>
              <w:rPr>
                <w:rFonts w:hint="eastAsia" w:ascii="宋体" w:hAnsi="宋体" w:cs="宋体"/>
                <w:color w:val="auto"/>
                <w:kern w:val="0"/>
                <w:sz w:val="24"/>
                <w:lang w:eastAsia="zh-CN"/>
              </w:rPr>
              <w:t>自主可控要求</w:t>
            </w:r>
          </w:p>
        </w:tc>
        <w:tc>
          <w:tcPr>
            <w:tcW w:w="1276" w:type="dxa"/>
            <w:tcBorders>
              <w:top w:val="single" w:color="auto" w:sz="4" w:space="0"/>
              <w:left w:val="single" w:color="auto" w:sz="4" w:space="0"/>
              <w:bottom w:val="single" w:color="auto" w:sz="4" w:space="0"/>
              <w:right w:val="single" w:color="auto" w:sz="4" w:space="0"/>
            </w:tcBorders>
            <w:vAlign w:val="center"/>
          </w:tcPr>
          <w:p w14:paraId="45CE4EDE">
            <w:pPr>
              <w:widowControl/>
              <w:rPr>
                <w:rFonts w:hint="eastAsia" w:ascii="宋体" w:hAnsi="宋体" w:cs="宋体"/>
                <w:color w:val="auto"/>
                <w:kern w:val="0"/>
                <w:sz w:val="24"/>
              </w:rPr>
            </w:pPr>
          </w:p>
        </w:tc>
        <w:tc>
          <w:tcPr>
            <w:tcW w:w="7087" w:type="dxa"/>
            <w:tcBorders>
              <w:top w:val="single" w:color="auto" w:sz="4" w:space="0"/>
              <w:left w:val="single" w:color="auto" w:sz="4" w:space="0"/>
              <w:bottom w:val="single" w:color="auto" w:sz="4" w:space="0"/>
              <w:right w:val="single" w:color="auto" w:sz="4" w:space="0"/>
            </w:tcBorders>
            <w:vAlign w:val="center"/>
          </w:tcPr>
          <w:p w14:paraId="5D044A1A">
            <w:pPr>
              <w:widowControl/>
              <w:rPr>
                <w:rFonts w:hint="eastAsia" w:ascii="宋体" w:hAnsi="宋体" w:cs="宋体"/>
                <w:color w:val="auto"/>
                <w:kern w:val="0"/>
                <w:sz w:val="24"/>
                <w:lang w:val="en-US" w:eastAsia="zh-CN"/>
              </w:rPr>
            </w:pPr>
            <w:bookmarkStart w:id="74" w:name="_GoBack"/>
            <w:r>
              <w:rPr>
                <w:rFonts w:hint="eastAsia" w:ascii="宋体" w:hAnsi="宋体" w:cs="宋体"/>
                <w:color w:val="auto"/>
                <w:kern w:val="0"/>
                <w:sz w:val="24"/>
                <w:lang w:val="en-US" w:eastAsia="zh-CN"/>
              </w:rPr>
              <w:t>1.该设备涉及的主要芯片产品（CPU、SSD、DRAM、BMC、网卡芯片、电流模块控制芯片）需要满足自主可控要求。</w:t>
            </w:r>
          </w:p>
          <w:p w14:paraId="5775A0B8">
            <w:pPr>
              <w:widowControl/>
              <w:rPr>
                <w:rFonts w:hint="eastAsia" w:ascii="宋体" w:hAnsi="宋体" w:cs="宋体"/>
                <w:color w:val="auto"/>
                <w:kern w:val="0"/>
                <w:sz w:val="24"/>
                <w:lang w:val="en-US" w:eastAsia="zh-CN"/>
              </w:rPr>
            </w:pPr>
            <w:r>
              <w:rPr>
                <w:rFonts w:hint="eastAsia" w:ascii="宋体" w:hAnsi="宋体" w:cs="宋体"/>
                <w:color w:val="auto"/>
                <w:kern w:val="0"/>
                <w:sz w:val="24"/>
                <w:lang w:val="en-US" w:eastAsia="zh-CN"/>
              </w:rPr>
              <w:t>2.CPU需要通过国家安全可靠测评。</w:t>
            </w:r>
          </w:p>
          <w:p w14:paraId="1FD5E2D9">
            <w:pPr>
              <w:widowControl/>
              <w:rPr>
                <w:rFonts w:hint="default" w:ascii="宋体" w:hAnsi="宋体" w:cs="宋体"/>
                <w:color w:val="auto"/>
                <w:kern w:val="0"/>
                <w:sz w:val="24"/>
                <w:lang w:val="en-US" w:eastAsia="zh-CN"/>
              </w:rPr>
            </w:pPr>
            <w:r>
              <w:rPr>
                <w:rFonts w:hint="eastAsia" w:ascii="宋体" w:hAnsi="宋体" w:cs="宋体"/>
                <w:color w:val="auto"/>
                <w:kern w:val="0"/>
                <w:sz w:val="24"/>
                <w:lang w:val="en-US" w:eastAsia="zh-CN"/>
              </w:rPr>
              <w:t>3.嵌入式操作系统需要满足自主可控要求。</w:t>
            </w:r>
          </w:p>
          <w:p w14:paraId="5CDD0114">
            <w:pPr>
              <w:widowControl/>
              <w:rPr>
                <w:rFonts w:hint="eastAsia" w:ascii="宋体" w:hAnsi="宋体" w:cs="宋体"/>
                <w:color w:val="auto"/>
                <w:kern w:val="0"/>
                <w:sz w:val="24"/>
              </w:rPr>
            </w:pPr>
            <w:r>
              <w:rPr>
                <w:rFonts w:hint="eastAsia" w:ascii="宋体" w:hAnsi="宋体" w:cs="宋体"/>
                <w:color w:val="auto"/>
                <w:kern w:val="0"/>
                <w:sz w:val="24"/>
                <w:lang w:val="en-US" w:eastAsia="zh-CN"/>
              </w:rPr>
              <w:t>4.原厂需就以上要求提供自主可控承诺函并加盖原厂公章。</w:t>
            </w:r>
            <w:bookmarkEnd w:id="74"/>
          </w:p>
        </w:tc>
      </w:tr>
    </w:tbl>
    <w:p w14:paraId="2F19DE6C">
      <w:pPr>
        <w:keepNext w:val="0"/>
        <w:keepLines w:val="0"/>
        <w:pageBreakBefore w:val="0"/>
        <w:widowControl w:val="0"/>
        <w:numPr>
          <w:ilvl w:val="0"/>
          <w:numId w:val="0"/>
        </w:numPr>
        <w:kinsoku/>
        <w:wordWrap/>
        <w:overflowPunct/>
        <w:topLinePunct w:val="0"/>
        <w:autoSpaceDE/>
        <w:autoSpaceDN/>
        <w:bidi w:val="0"/>
        <w:adjustRightInd w:val="0"/>
        <w:snapToGrid/>
        <w:spacing w:line="360" w:lineRule="auto"/>
        <w:ind w:leftChars="0"/>
        <w:textAlignment w:val="auto"/>
        <w:outlineLvl w:val="2"/>
        <w:rPr>
          <w:rFonts w:hint="eastAsia" w:ascii="宋体" w:hAnsi="宋体" w:cs="宋体"/>
          <w:b/>
          <w:bCs/>
          <w:sz w:val="24"/>
        </w:rPr>
      </w:pPr>
    </w:p>
    <w:p w14:paraId="45B0BA96">
      <w:pPr>
        <w:pStyle w:val="4"/>
        <w:numPr>
          <w:ilvl w:val="0"/>
          <w:numId w:val="4"/>
        </w:numPr>
        <w:spacing w:before="0" w:after="0" w:line="360" w:lineRule="auto"/>
        <w:rPr>
          <w:rFonts w:hint="eastAsia" w:ascii="宋体" w:hAnsi="宋体" w:cs="宋体"/>
          <w:kern w:val="0"/>
          <w:sz w:val="24"/>
          <w:szCs w:val="24"/>
        </w:rPr>
      </w:pPr>
      <w:bookmarkStart w:id="42" w:name="_Toc914"/>
      <w:r>
        <w:rPr>
          <w:rFonts w:hint="eastAsia" w:ascii="宋体" w:hAnsi="宋体" w:cs="宋体"/>
          <w:kern w:val="0"/>
          <w:sz w:val="24"/>
          <w:szCs w:val="24"/>
        </w:rPr>
        <w:t>资料管理</w:t>
      </w:r>
      <w:bookmarkEnd w:id="34"/>
      <w:bookmarkEnd w:id="35"/>
      <w:bookmarkEnd w:id="36"/>
      <w:bookmarkEnd w:id="42"/>
    </w:p>
    <w:p w14:paraId="4F378FF8">
      <w:pPr>
        <w:numPr>
          <w:ilvl w:val="1"/>
          <w:numId w:val="4"/>
        </w:numPr>
        <w:adjustRightInd w:val="0"/>
        <w:spacing w:line="360" w:lineRule="auto"/>
        <w:ind w:left="0" w:firstLine="0"/>
        <w:outlineLvl w:val="1"/>
        <w:rPr>
          <w:rFonts w:hint="eastAsia" w:ascii="宋体" w:hAnsi="宋体" w:cs="宋体"/>
          <w:sz w:val="24"/>
        </w:rPr>
      </w:pPr>
      <w:bookmarkStart w:id="43" w:name="_Toc270322069"/>
      <w:r>
        <w:rPr>
          <w:rFonts w:hint="eastAsia" w:ascii="宋体" w:hAnsi="宋体" w:cs="宋体"/>
          <w:sz w:val="24"/>
        </w:rPr>
        <w:t>文档范围</w:t>
      </w:r>
      <w:bookmarkEnd w:id="43"/>
    </w:p>
    <w:p w14:paraId="6D49DFBD">
      <w:pPr>
        <w:pStyle w:val="31"/>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cs="宋体"/>
          <w:b w:val="0"/>
          <w:bCs w:val="0"/>
          <w:sz w:val="24"/>
        </w:rPr>
      </w:pPr>
      <w:bookmarkStart w:id="44" w:name="_Toc270322070"/>
      <w:r>
        <w:rPr>
          <w:rFonts w:hint="eastAsia" w:ascii="宋体" w:hAnsi="宋体" w:eastAsia="宋体" w:cs="宋体"/>
          <w:b w:val="0"/>
          <w:bCs w:val="0"/>
          <w:spacing w:val="0"/>
          <w:kern w:val="2"/>
          <w:sz w:val="24"/>
          <w:szCs w:val="24"/>
          <w:lang w:val="en-US" w:eastAsia="zh-CN" w:bidi="ar-SA"/>
        </w:rPr>
        <w:t>为确保本系统的安装、投产、运行和维护，</w:t>
      </w:r>
      <w:r>
        <w:rPr>
          <w:rFonts w:hint="eastAsia" w:ascii="宋体" w:hAnsi="宋体" w:cs="宋体"/>
          <w:sz w:val="24"/>
        </w:rPr>
        <w:t>供方应</w:t>
      </w:r>
      <w:r>
        <w:rPr>
          <w:rFonts w:hint="eastAsia" w:ascii="宋体" w:hAnsi="宋体" w:cs="宋体"/>
          <w:sz w:val="24"/>
          <w:lang w:val="en-US" w:eastAsia="zh-CN"/>
        </w:rPr>
        <w:t>需</w:t>
      </w:r>
      <w:r>
        <w:rPr>
          <w:rFonts w:hint="eastAsia" w:ascii="宋体" w:hAnsi="宋体" w:eastAsia="宋体" w:cs="宋体"/>
          <w:b w:val="0"/>
          <w:bCs w:val="0"/>
          <w:spacing w:val="0"/>
          <w:kern w:val="2"/>
          <w:sz w:val="24"/>
          <w:szCs w:val="24"/>
          <w:lang w:val="en-US" w:eastAsia="zh-CN" w:bidi="ar-SA"/>
        </w:rPr>
        <w:t>在合同规定时间内，提供系统所有设备技术文档和操作使用手册，并对其所提供的全部技术资料的准确性负责。</w:t>
      </w:r>
      <w:r>
        <w:rPr>
          <w:rFonts w:hint="eastAsia" w:ascii="宋体" w:hAnsi="宋体" w:cs="宋体"/>
          <w:b w:val="0"/>
          <w:bCs w:val="0"/>
          <w:spacing w:val="0"/>
          <w:kern w:val="2"/>
          <w:sz w:val="24"/>
          <w:szCs w:val="24"/>
          <w:lang w:val="en-US" w:eastAsia="zh-CN" w:bidi="ar-SA"/>
        </w:rPr>
        <w:t>报价人</w:t>
      </w:r>
      <w:r>
        <w:rPr>
          <w:rFonts w:hint="eastAsia" w:ascii="宋体" w:hAnsi="宋体" w:eastAsia="宋体" w:cs="宋体"/>
          <w:b w:val="0"/>
          <w:bCs w:val="0"/>
          <w:spacing w:val="0"/>
          <w:kern w:val="2"/>
          <w:sz w:val="24"/>
          <w:szCs w:val="24"/>
          <w:lang w:val="en-US" w:eastAsia="zh-CN" w:bidi="ar-SA"/>
        </w:rPr>
        <w:t>提供的文件和资料应能满足招标方进行系统维护和进一步开发的需要。提供的图纸应符合标准规格。向</w:t>
      </w:r>
      <w:r>
        <w:rPr>
          <w:rFonts w:hint="eastAsia" w:ascii="宋体" w:hAnsi="宋体" w:cs="宋体"/>
          <w:b w:val="0"/>
          <w:bCs w:val="0"/>
          <w:spacing w:val="0"/>
          <w:kern w:val="2"/>
          <w:sz w:val="24"/>
          <w:szCs w:val="24"/>
          <w:lang w:val="en-US" w:eastAsia="zh-CN" w:bidi="ar-SA"/>
        </w:rPr>
        <w:t>投标寻源方</w:t>
      </w:r>
      <w:r>
        <w:rPr>
          <w:rFonts w:hint="eastAsia" w:ascii="宋体" w:hAnsi="宋体" w:eastAsia="宋体" w:cs="宋体"/>
          <w:b w:val="0"/>
          <w:bCs w:val="0"/>
          <w:spacing w:val="0"/>
          <w:kern w:val="2"/>
          <w:sz w:val="24"/>
          <w:szCs w:val="24"/>
          <w:lang w:val="en-US" w:eastAsia="zh-CN" w:bidi="ar-SA"/>
        </w:rPr>
        <w:t>提供</w:t>
      </w:r>
      <w:r>
        <w:rPr>
          <w:rFonts w:hint="eastAsia" w:ascii="宋体" w:hAnsi="宋体" w:cs="宋体"/>
          <w:sz w:val="24"/>
        </w:rPr>
        <w:t>相关验收资料</w:t>
      </w:r>
      <w:r>
        <w:rPr>
          <w:rFonts w:hint="eastAsia" w:ascii="宋体" w:hAnsi="宋体" w:eastAsia="宋体" w:cs="宋体"/>
          <w:b w:val="0"/>
          <w:bCs w:val="0"/>
          <w:spacing w:val="0"/>
          <w:kern w:val="2"/>
          <w:sz w:val="24"/>
          <w:szCs w:val="24"/>
          <w:lang w:val="en-US" w:eastAsia="zh-CN" w:bidi="ar-SA"/>
        </w:rPr>
        <w:t>（</w:t>
      </w:r>
      <w:r>
        <w:rPr>
          <w:rFonts w:hint="eastAsia" w:ascii="宋体" w:hAnsi="宋体" w:cs="宋体"/>
          <w:b w:val="0"/>
          <w:bCs w:val="0"/>
          <w:sz w:val="24"/>
        </w:rPr>
        <w:t>电子版扫描件一套，书面材料一套</w:t>
      </w:r>
      <w:r>
        <w:rPr>
          <w:rFonts w:hint="eastAsia" w:ascii="宋体" w:hAnsi="宋体" w:cs="宋体"/>
          <w:b w:val="0"/>
          <w:bCs w:val="0"/>
          <w:sz w:val="24"/>
          <w:lang w:eastAsia="zh-CN"/>
        </w:rPr>
        <w:t>）</w:t>
      </w:r>
      <w:r>
        <w:rPr>
          <w:rFonts w:hint="eastAsia" w:ascii="宋体" w:hAnsi="宋体" w:cs="宋体"/>
          <w:b w:val="0"/>
          <w:bCs w:val="0"/>
          <w:sz w:val="24"/>
        </w:rPr>
        <w:t>。包括</w:t>
      </w:r>
      <w:r>
        <w:rPr>
          <w:rFonts w:hint="eastAsia" w:ascii="宋体" w:hAnsi="宋体" w:cs="宋体"/>
          <w:b w:val="0"/>
          <w:bCs w:val="0"/>
          <w:sz w:val="24"/>
          <w:lang w:val="en-US" w:eastAsia="zh-CN"/>
        </w:rPr>
        <w:t>但不限于</w:t>
      </w:r>
      <w:r>
        <w:rPr>
          <w:rFonts w:hint="eastAsia" w:ascii="宋体" w:hAnsi="宋体" w:cs="宋体"/>
          <w:b w:val="0"/>
          <w:bCs w:val="0"/>
          <w:sz w:val="24"/>
        </w:rPr>
        <w:t>：</w:t>
      </w:r>
    </w:p>
    <w:tbl>
      <w:tblPr>
        <w:tblStyle w:val="24"/>
        <w:tblW w:w="3341" w:type="pct"/>
        <w:jc w:val="center"/>
        <w:tblLayout w:type="autofit"/>
        <w:tblCellMar>
          <w:top w:w="0" w:type="dxa"/>
          <w:left w:w="108" w:type="dxa"/>
          <w:bottom w:w="0" w:type="dxa"/>
          <w:right w:w="108" w:type="dxa"/>
        </w:tblCellMar>
      </w:tblPr>
      <w:tblGrid>
        <w:gridCol w:w="881"/>
        <w:gridCol w:w="3377"/>
        <w:gridCol w:w="2099"/>
      </w:tblGrid>
      <w:tr w14:paraId="092DC2CD">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0C9511B">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项目</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833F75">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说明</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1DE64B70">
            <w:pPr>
              <w:jc w:val="center"/>
              <w:textAlignment w:val="center"/>
              <w:rPr>
                <w:rFonts w:hint="eastAsia" w:ascii="宋体" w:hAnsi="宋体" w:cs="宋体"/>
                <w:b/>
                <w:bCs/>
                <w:color w:val="000000"/>
                <w:sz w:val="22"/>
                <w:szCs w:val="22"/>
              </w:rPr>
            </w:pPr>
            <w:r>
              <w:rPr>
                <w:rFonts w:hint="eastAsia" w:ascii="宋体" w:hAnsi="宋体" w:cs="宋体"/>
                <w:b/>
                <w:bCs/>
                <w:color w:val="000000"/>
                <w:sz w:val="22"/>
                <w:szCs w:val="22"/>
                <w:lang w:bidi="ar"/>
              </w:rPr>
              <w:t>数量</w:t>
            </w:r>
          </w:p>
        </w:tc>
      </w:tr>
      <w:tr w14:paraId="187FFEBE">
        <w:tblPrEx>
          <w:tblCellMar>
            <w:top w:w="0" w:type="dxa"/>
            <w:left w:w="108" w:type="dxa"/>
            <w:bottom w:w="0" w:type="dxa"/>
            <w:right w:w="108" w:type="dxa"/>
          </w:tblCellMar>
        </w:tblPrEx>
        <w:trPr>
          <w:trHeight w:val="338"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41B6E8CA">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49939E2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用户使用手册</w:t>
            </w:r>
          </w:p>
        </w:tc>
        <w:tc>
          <w:tcPr>
            <w:tcW w:w="1651" w:type="pct"/>
            <w:tcBorders>
              <w:top w:val="single" w:color="000000" w:sz="4" w:space="0"/>
              <w:left w:val="single" w:color="000000" w:sz="4" w:space="0"/>
              <w:bottom w:val="single" w:color="000000" w:sz="4" w:space="0"/>
              <w:right w:val="single" w:color="000000" w:sz="4" w:space="0"/>
            </w:tcBorders>
            <w:noWrap/>
            <w:vAlign w:val="center"/>
          </w:tcPr>
          <w:p w14:paraId="7BD7010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7322CF0A">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7B9D0C91">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2</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2C77E63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系统维护手册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6C9AA14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4B4EDF28">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13E1F227">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3</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B869D5E">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系统功能说明手册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5C02D1F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DBB8ED4">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6842CB1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4</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111F0B89">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系统安装和配置手册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E786CF">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r w14:paraId="5E5E81D6">
        <w:tblPrEx>
          <w:tblCellMar>
            <w:top w:w="0" w:type="dxa"/>
            <w:left w:w="108" w:type="dxa"/>
            <w:bottom w:w="0" w:type="dxa"/>
            <w:right w:w="108" w:type="dxa"/>
          </w:tblCellMar>
        </w:tblPrEx>
        <w:trPr>
          <w:trHeight w:val="280" w:hRule="atLeast"/>
          <w:jc w:val="center"/>
        </w:trPr>
        <w:tc>
          <w:tcPr>
            <w:tcW w:w="693" w:type="pct"/>
            <w:tcBorders>
              <w:top w:val="single" w:color="000000" w:sz="4" w:space="0"/>
              <w:left w:val="single" w:color="000000" w:sz="4" w:space="0"/>
              <w:bottom w:val="single" w:color="000000" w:sz="4" w:space="0"/>
              <w:right w:val="single" w:color="000000" w:sz="4" w:space="0"/>
            </w:tcBorders>
            <w:noWrap/>
            <w:vAlign w:val="center"/>
          </w:tcPr>
          <w:p w14:paraId="58970B9D">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5</w:t>
            </w:r>
          </w:p>
        </w:tc>
        <w:tc>
          <w:tcPr>
            <w:tcW w:w="2656" w:type="pct"/>
            <w:tcBorders>
              <w:top w:val="single" w:color="000000" w:sz="4" w:space="0"/>
              <w:left w:val="single" w:color="000000" w:sz="4" w:space="0"/>
              <w:bottom w:val="single" w:color="000000" w:sz="4" w:space="0"/>
              <w:right w:val="single" w:color="000000" w:sz="4" w:space="0"/>
            </w:tcBorders>
            <w:noWrap/>
            <w:vAlign w:val="center"/>
          </w:tcPr>
          <w:p w14:paraId="0D668A80">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系统测试手册</w:t>
            </w:r>
          </w:p>
        </w:tc>
        <w:tc>
          <w:tcPr>
            <w:tcW w:w="1651" w:type="pct"/>
            <w:tcBorders>
              <w:top w:val="single" w:color="000000" w:sz="4" w:space="0"/>
              <w:left w:val="single" w:color="000000" w:sz="4" w:space="0"/>
              <w:bottom w:val="single" w:color="000000" w:sz="4" w:space="0"/>
              <w:right w:val="single" w:color="000000" w:sz="4" w:space="0"/>
            </w:tcBorders>
            <w:noWrap/>
            <w:vAlign w:val="top"/>
          </w:tcPr>
          <w:p w14:paraId="741EF873">
            <w:pPr>
              <w:jc w:val="center"/>
              <w:textAlignment w:val="center"/>
              <w:rPr>
                <w:rFonts w:hint="eastAsia" w:ascii="宋体" w:hAnsi="宋体" w:cs="宋体"/>
                <w:color w:val="000000"/>
                <w:sz w:val="22"/>
                <w:szCs w:val="22"/>
              </w:rPr>
            </w:pPr>
            <w:r>
              <w:rPr>
                <w:rFonts w:hint="eastAsia" w:ascii="宋体" w:hAnsi="宋体" w:cs="宋体"/>
                <w:color w:val="000000"/>
                <w:sz w:val="22"/>
                <w:szCs w:val="22"/>
                <w:lang w:bidi="ar"/>
              </w:rPr>
              <w:t>1</w:t>
            </w:r>
          </w:p>
        </w:tc>
      </w:tr>
    </w:tbl>
    <w:p w14:paraId="0B58752A">
      <w:pPr>
        <w:numPr>
          <w:ilvl w:val="0"/>
          <w:numId w:val="0"/>
        </w:numPr>
        <w:adjustRightInd w:val="0"/>
        <w:spacing w:line="360" w:lineRule="auto"/>
        <w:ind w:leftChars="0"/>
        <w:outlineLvl w:val="1"/>
        <w:rPr>
          <w:rFonts w:hint="eastAsia" w:ascii="宋体" w:hAnsi="宋体" w:cs="宋体"/>
          <w:sz w:val="24"/>
        </w:rPr>
      </w:pPr>
    </w:p>
    <w:p w14:paraId="20C92142">
      <w:pPr>
        <w:numPr>
          <w:ilvl w:val="1"/>
          <w:numId w:val="4"/>
        </w:numPr>
        <w:adjustRightInd w:val="0"/>
        <w:spacing w:line="360" w:lineRule="auto"/>
        <w:ind w:left="0" w:firstLine="0"/>
        <w:outlineLvl w:val="1"/>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的责任</w:t>
      </w:r>
      <w:bookmarkEnd w:id="44"/>
    </w:p>
    <w:p w14:paraId="3548F930">
      <w:pPr>
        <w:tabs>
          <w:tab w:val="left" w:pos="1148"/>
        </w:tabs>
        <w:spacing w:line="360" w:lineRule="auto"/>
        <w:ind w:firstLine="480"/>
        <w:jc w:val="left"/>
        <w:rPr>
          <w:rFonts w:hint="eastAsia" w:ascii="宋体" w:hAnsi="宋体" w:cs="宋体"/>
          <w:sz w:val="24"/>
        </w:rPr>
      </w:pPr>
      <w:r>
        <w:rPr>
          <w:rFonts w:hint="eastAsia" w:ascii="宋体" w:hAnsi="宋体" w:cs="宋体"/>
          <w:sz w:val="24"/>
          <w:lang w:eastAsia="zh-CN"/>
        </w:rPr>
        <w:t>报价人</w:t>
      </w:r>
      <w:r>
        <w:rPr>
          <w:rFonts w:hint="eastAsia" w:ascii="宋体" w:hAnsi="宋体" w:cs="宋体"/>
          <w:sz w:val="24"/>
        </w:rPr>
        <w:t>应对其所提供的全部文档的准确性和完整性负责。所有由</w:t>
      </w:r>
      <w:r>
        <w:rPr>
          <w:rFonts w:hint="eastAsia" w:ascii="宋体" w:hAnsi="宋体" w:cs="宋体"/>
          <w:sz w:val="24"/>
          <w:lang w:eastAsia="zh-CN"/>
        </w:rPr>
        <w:t>报价人</w:t>
      </w:r>
      <w:r>
        <w:rPr>
          <w:rFonts w:hint="eastAsia" w:ascii="宋体" w:hAnsi="宋体" w:cs="宋体"/>
          <w:sz w:val="24"/>
        </w:rPr>
        <w:t>采购供货的第三方设备的技术手册的准确性由</w:t>
      </w:r>
      <w:r>
        <w:rPr>
          <w:rFonts w:hint="eastAsia" w:ascii="宋体" w:hAnsi="宋体" w:cs="宋体"/>
          <w:sz w:val="24"/>
          <w:lang w:eastAsia="zh-CN"/>
        </w:rPr>
        <w:t>报价人</w:t>
      </w:r>
      <w:r>
        <w:rPr>
          <w:rFonts w:hint="eastAsia" w:ascii="宋体" w:hAnsi="宋体" w:cs="宋体"/>
          <w:sz w:val="24"/>
        </w:rPr>
        <w:t>负责。</w:t>
      </w:r>
    </w:p>
    <w:p w14:paraId="7342CF29">
      <w:pPr>
        <w:pStyle w:val="4"/>
        <w:numPr>
          <w:ilvl w:val="0"/>
          <w:numId w:val="4"/>
        </w:numPr>
        <w:spacing w:before="0" w:after="0" w:line="360" w:lineRule="auto"/>
        <w:rPr>
          <w:rFonts w:hint="eastAsia" w:ascii="宋体" w:hAnsi="宋体"/>
          <w:kern w:val="0"/>
          <w:sz w:val="24"/>
          <w:szCs w:val="24"/>
        </w:rPr>
      </w:pPr>
      <w:bookmarkStart w:id="45" w:name="_Toc58225921"/>
      <w:bookmarkStart w:id="46" w:name="_Toc8849_WPSOffice_Level1"/>
      <w:bookmarkStart w:id="47" w:name="_Toc27515"/>
      <w:bookmarkStart w:id="48" w:name="_Toc27007"/>
      <w:bookmarkStart w:id="49" w:name="_Toc31121_WPSOffice_Level1"/>
      <w:bookmarkStart w:id="50" w:name="_Toc510"/>
      <w:bookmarkStart w:id="51" w:name="_Toc187218714"/>
      <w:r>
        <w:rPr>
          <w:rFonts w:hint="eastAsia" w:ascii="宋体" w:hAnsi="宋体"/>
          <w:kern w:val="0"/>
          <w:sz w:val="24"/>
          <w:szCs w:val="24"/>
        </w:rPr>
        <w:t>售后服务及技术培训</w:t>
      </w:r>
      <w:bookmarkEnd w:id="45"/>
      <w:bookmarkEnd w:id="46"/>
      <w:bookmarkEnd w:id="47"/>
      <w:bookmarkEnd w:id="48"/>
      <w:bookmarkEnd w:id="49"/>
      <w:bookmarkEnd w:id="50"/>
    </w:p>
    <w:p w14:paraId="028C5F6C">
      <w:pPr>
        <w:tabs>
          <w:tab w:val="left" w:pos="1148"/>
        </w:tabs>
        <w:spacing w:line="360" w:lineRule="auto"/>
        <w:ind w:firstLine="480"/>
        <w:jc w:val="left"/>
        <w:rPr>
          <w:rFonts w:hint="eastAsia" w:ascii="宋体" w:hAnsi="宋体" w:cs="宋体"/>
          <w:sz w:val="24"/>
        </w:rPr>
      </w:pPr>
      <w:bookmarkStart w:id="52" w:name="_Toc23917"/>
      <w:bookmarkStart w:id="53" w:name="_Toc317689842"/>
      <w:bookmarkStart w:id="54" w:name="_Toc8224_WPSOffice_Level1"/>
      <w:bookmarkStart w:id="55" w:name="_Toc317690130"/>
      <w:bookmarkStart w:id="56" w:name="_Toc17375_WPSOffice_Level1"/>
      <w:bookmarkStart w:id="57" w:name="_Toc58225922"/>
      <w:bookmarkStart w:id="58" w:name="_Toc32297"/>
      <w:bookmarkStart w:id="59" w:name="_Toc317067408"/>
      <w:bookmarkStart w:id="60" w:name="_Toc20893"/>
      <w:r>
        <w:rPr>
          <w:rFonts w:hint="eastAsia" w:ascii="宋体" w:hAnsi="宋体" w:cs="宋体"/>
          <w:sz w:val="24"/>
        </w:rPr>
        <w:t>在产品质保期内有制造质量的货物，由供货方负责修理或更换。对非甲方责任造成的货物损坏，供货方有优先提供更换的义务。</w:t>
      </w:r>
    </w:p>
    <w:p w14:paraId="30816D6F">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.1售后服务要求</w:t>
      </w:r>
    </w:p>
    <w:p w14:paraId="7A64591A">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.1</w:t>
      </w:r>
      <w:r>
        <w:rPr>
          <w:rFonts w:hint="eastAsia" w:ascii="宋体" w:hAnsi="宋体" w:cs="宋体"/>
          <w:sz w:val="24"/>
          <w:highlight w:val="none"/>
          <w:lang w:val="en-US" w:eastAsia="zh-CN"/>
        </w:rPr>
        <w:t>.1</w:t>
      </w:r>
      <w:r>
        <w:rPr>
          <w:rFonts w:hint="eastAsia" w:ascii="宋体" w:hAnsi="宋体" w:cs="宋体"/>
          <w:sz w:val="24"/>
          <w:highlight w:val="none"/>
        </w:rPr>
        <w:t xml:space="preserve"> 软件类</w:t>
      </w:r>
    </w:p>
    <w:p w14:paraId="20523599">
      <w:pPr>
        <w:numPr>
          <w:ilvl w:val="0"/>
          <w:numId w:val="0"/>
        </w:numPr>
        <w:tabs>
          <w:tab w:val="left" w:pos="1148"/>
        </w:tabs>
        <w:spacing w:line="360" w:lineRule="auto"/>
        <w:ind w:left="420" w:leftChars="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年的原厂安全和性能补丁服务</w:t>
      </w:r>
      <w:r>
        <w:rPr>
          <w:rFonts w:hint="eastAsia" w:ascii="宋体" w:hAnsi="宋体" w:cs="宋体"/>
          <w:sz w:val="24"/>
          <w:highlight w:val="none"/>
          <w:lang w:val="en-US" w:eastAsia="zh-CN"/>
        </w:rPr>
        <w:t>及1</w:t>
      </w:r>
      <w:r>
        <w:rPr>
          <w:rFonts w:hint="eastAsia" w:ascii="宋体" w:hAnsi="宋体" w:cs="宋体"/>
          <w:sz w:val="24"/>
          <w:highlight w:val="none"/>
        </w:rPr>
        <w:t>年原厂标准服务，包含：</w:t>
      </w:r>
    </w:p>
    <w:p w14:paraId="72B4EB30">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提供7×24小时技术支持服务，指定相对固定的技术负责人及联络电话、传真、e-mail等。</w:t>
      </w:r>
    </w:p>
    <w:p w14:paraId="641D9117">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在用户发现软件缺陷时，</w:t>
      </w:r>
      <w:r>
        <w:rPr>
          <w:rFonts w:hint="eastAsia" w:ascii="宋体" w:hAnsi="宋体" w:cs="宋体"/>
          <w:sz w:val="24"/>
          <w:highlight w:val="none"/>
          <w:lang w:eastAsia="zh-CN"/>
        </w:rPr>
        <w:t>报价人</w:t>
      </w:r>
      <w:r>
        <w:rPr>
          <w:rFonts w:hint="eastAsia" w:ascii="宋体" w:hAnsi="宋体" w:eastAsia="宋体" w:cs="宋体"/>
          <w:sz w:val="24"/>
          <w:highlight w:val="none"/>
        </w:rPr>
        <w:t>必须在用户提出维护要求的2小时内作出响应，24小时内提交故障分析报告和解决方案，48小时内故障得以解决。</w:t>
      </w:r>
    </w:p>
    <w:p w14:paraId="777BBB94">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重大软件故障时，</w:t>
      </w:r>
      <w:r>
        <w:rPr>
          <w:rFonts w:hint="eastAsia" w:ascii="宋体" w:hAnsi="宋体" w:cs="宋体"/>
          <w:sz w:val="24"/>
          <w:highlight w:val="none"/>
          <w:lang w:eastAsia="zh-CN"/>
        </w:rPr>
        <w:t>报价人</w:t>
      </w:r>
      <w:r>
        <w:rPr>
          <w:rFonts w:hint="eastAsia" w:ascii="宋体" w:hAnsi="宋体" w:eastAsia="宋体" w:cs="宋体"/>
          <w:sz w:val="24"/>
          <w:highlight w:val="none"/>
        </w:rPr>
        <w:t>应在接到故障电话后4小时到达现场，24小时内修复故障。</w:t>
      </w:r>
    </w:p>
    <w:p w14:paraId="1B0B6753">
      <w:pPr>
        <w:numPr>
          <w:ilvl w:val="0"/>
          <w:numId w:val="5"/>
        </w:numPr>
        <w:tabs>
          <w:tab w:val="left" w:pos="1148"/>
        </w:tabs>
        <w:spacing w:line="360" w:lineRule="auto"/>
        <w:ind w:left="840" w:leftChars="0" w:hanging="420" w:firstLineChars="0"/>
        <w:jc w:val="both"/>
        <w:rPr>
          <w:rFonts w:hint="eastAsia" w:ascii="宋体" w:hAnsi="宋体" w:eastAsia="宋体" w:cs="宋体"/>
          <w:sz w:val="24"/>
          <w:highlight w:val="none"/>
        </w:rPr>
      </w:pPr>
      <w:r>
        <w:rPr>
          <w:rFonts w:hint="eastAsia" w:ascii="宋体" w:hAnsi="宋体" w:eastAsia="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eastAsia="宋体" w:cs="宋体"/>
          <w:sz w:val="24"/>
          <w:highlight w:val="none"/>
        </w:rPr>
        <w:t>负责一切后果。</w:t>
      </w:r>
    </w:p>
    <w:p w14:paraId="7C30FAB4">
      <w:pPr>
        <w:tabs>
          <w:tab w:val="left" w:pos="1148"/>
        </w:tabs>
        <w:spacing w:line="360" w:lineRule="auto"/>
        <w:ind w:firstLine="480"/>
        <w:jc w:val="left"/>
        <w:rPr>
          <w:rFonts w:hint="eastAsia" w:ascii="宋体" w:hAnsi="宋体" w:cs="宋体"/>
          <w:sz w:val="24"/>
          <w:highlight w:val="none"/>
          <w:lang w:val="en-US" w:eastAsia="zh-CN"/>
        </w:rPr>
      </w:pPr>
      <w:r>
        <w:rPr>
          <w:rFonts w:hint="eastAsia" w:ascii="宋体" w:hAnsi="宋体" w:cs="宋体"/>
          <w:sz w:val="24"/>
          <w:highlight w:val="none"/>
          <w:lang w:val="en-US" w:eastAsia="zh-CN"/>
        </w:rPr>
        <w:t>7.1.2  硬件</w:t>
      </w:r>
      <w:r>
        <w:rPr>
          <w:rFonts w:hint="eastAsia" w:ascii="宋体" w:hAnsi="宋体" w:cs="宋体"/>
          <w:sz w:val="24"/>
          <w:highlight w:val="none"/>
        </w:rPr>
        <w:t>类</w:t>
      </w:r>
    </w:p>
    <w:p w14:paraId="18152730">
      <w:pPr>
        <w:numPr>
          <w:ilvl w:val="0"/>
          <w:numId w:val="0"/>
        </w:numPr>
        <w:tabs>
          <w:tab w:val="left" w:pos="1148"/>
        </w:tabs>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提供</w:t>
      </w:r>
      <w:r>
        <w:rPr>
          <w:rFonts w:hint="eastAsia" w:ascii="宋体" w:hAnsi="宋体" w:cs="宋体"/>
          <w:sz w:val="24"/>
          <w:highlight w:val="none"/>
          <w:lang w:val="en-US" w:eastAsia="zh-CN"/>
        </w:rPr>
        <w:t>3</w:t>
      </w:r>
      <w:r>
        <w:rPr>
          <w:rFonts w:hint="eastAsia" w:ascii="宋体" w:hAnsi="宋体" w:cs="宋体"/>
          <w:sz w:val="24"/>
          <w:highlight w:val="none"/>
        </w:rPr>
        <w:t>年的设备保修服务</w:t>
      </w:r>
      <w:r>
        <w:rPr>
          <w:rFonts w:hint="eastAsia" w:ascii="宋体" w:hAnsi="宋体" w:cs="宋体"/>
          <w:sz w:val="24"/>
          <w:highlight w:val="none"/>
          <w:lang w:val="en-US" w:eastAsia="zh-CN"/>
        </w:rPr>
        <w:t>及</w:t>
      </w:r>
      <w:r>
        <w:rPr>
          <w:rFonts w:hint="eastAsia" w:ascii="宋体" w:hAnsi="宋体" w:cs="宋体"/>
          <w:sz w:val="24"/>
          <w:highlight w:val="none"/>
        </w:rPr>
        <w:t>1年原厂标准服务，包含：</w:t>
      </w:r>
    </w:p>
    <w:p w14:paraId="01DD680B">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提供7×24小时技术支持服务，指定相对固定的技术负责人及联络电话、传真、e-mail等。</w:t>
      </w:r>
    </w:p>
    <w:p w14:paraId="101D13A3">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在用户发现系统缺陷时，</w:t>
      </w:r>
      <w:r>
        <w:rPr>
          <w:rFonts w:hint="eastAsia" w:ascii="宋体" w:hAnsi="宋体" w:cs="宋体"/>
          <w:sz w:val="24"/>
          <w:highlight w:val="none"/>
          <w:lang w:eastAsia="zh-CN"/>
        </w:rPr>
        <w:t>报价人</w:t>
      </w:r>
      <w:r>
        <w:rPr>
          <w:rFonts w:hint="eastAsia" w:ascii="宋体" w:hAnsi="宋体" w:cs="宋体"/>
          <w:sz w:val="24"/>
          <w:highlight w:val="none"/>
        </w:rPr>
        <w:t>必须在用户提出维护要求的2小时内作出响应，24小时内提交故障分析报告和解决方案，48小时内故障得以解决。</w:t>
      </w:r>
    </w:p>
    <w:p w14:paraId="5EDD9B71">
      <w:pPr>
        <w:numPr>
          <w:ilvl w:val="0"/>
          <w:numId w:val="5"/>
        </w:numPr>
        <w:tabs>
          <w:tab w:val="left" w:pos="1148"/>
        </w:tabs>
        <w:spacing w:line="360" w:lineRule="auto"/>
        <w:ind w:left="840" w:leftChars="0" w:hanging="420" w:firstLineChars="0"/>
        <w:jc w:val="left"/>
        <w:rPr>
          <w:rFonts w:hint="eastAsia" w:ascii="宋体" w:hAnsi="宋体" w:cs="宋体"/>
          <w:sz w:val="24"/>
          <w:highlight w:val="none"/>
        </w:rPr>
      </w:pPr>
      <w:r>
        <w:rPr>
          <w:rFonts w:hint="eastAsia" w:ascii="宋体" w:hAnsi="宋体" w:cs="宋体"/>
          <w:sz w:val="24"/>
          <w:highlight w:val="none"/>
        </w:rPr>
        <w:t>重大系统故障时，</w:t>
      </w:r>
      <w:r>
        <w:rPr>
          <w:rFonts w:hint="eastAsia" w:ascii="宋体" w:hAnsi="宋体" w:cs="宋体"/>
          <w:sz w:val="24"/>
          <w:highlight w:val="none"/>
          <w:lang w:eastAsia="zh-CN"/>
        </w:rPr>
        <w:t>报价人</w:t>
      </w:r>
      <w:r>
        <w:rPr>
          <w:rFonts w:hint="eastAsia" w:ascii="宋体" w:hAnsi="宋体" w:cs="宋体"/>
          <w:sz w:val="24"/>
          <w:highlight w:val="none"/>
        </w:rPr>
        <w:t>应在接到故障电话后4小时到达现场，24小时内修复故障。</w:t>
      </w:r>
    </w:p>
    <w:p w14:paraId="0518F96A">
      <w:pPr>
        <w:numPr>
          <w:ilvl w:val="0"/>
          <w:numId w:val="5"/>
        </w:numPr>
        <w:tabs>
          <w:tab w:val="left" w:pos="1148"/>
        </w:tabs>
        <w:spacing w:line="360" w:lineRule="auto"/>
        <w:ind w:left="840" w:leftChars="0" w:hanging="420" w:firstLineChars="0"/>
        <w:jc w:val="left"/>
        <w:rPr>
          <w:rFonts w:hint="eastAsia" w:ascii="宋体" w:hAnsi="宋体" w:cs="宋体"/>
          <w:highlight w:val="none"/>
        </w:rPr>
      </w:pPr>
      <w:r>
        <w:rPr>
          <w:rFonts w:hint="eastAsia" w:ascii="宋体" w:hAnsi="宋体" w:cs="宋体"/>
          <w:sz w:val="24"/>
          <w:highlight w:val="none"/>
        </w:rPr>
        <w:t>在有新的系统补丁或升级版本时，在征得用户同意的情况下可进行升级或打补丁。由于未提供给用户补丁或升级而引起的运行故障由</w:t>
      </w:r>
      <w:r>
        <w:rPr>
          <w:rFonts w:hint="eastAsia" w:ascii="宋体" w:hAnsi="宋体" w:cs="宋体"/>
          <w:sz w:val="24"/>
          <w:highlight w:val="none"/>
          <w:lang w:eastAsia="zh-CN"/>
        </w:rPr>
        <w:t>报价人</w:t>
      </w:r>
      <w:r>
        <w:rPr>
          <w:rFonts w:hint="eastAsia" w:ascii="宋体" w:hAnsi="宋体" w:cs="宋体"/>
          <w:sz w:val="24"/>
          <w:highlight w:val="none"/>
        </w:rPr>
        <w:t>负责一切后果</w:t>
      </w:r>
      <w:r>
        <w:rPr>
          <w:rFonts w:hint="eastAsia" w:ascii="宋体" w:hAnsi="宋体" w:cs="宋体"/>
          <w:highlight w:val="none"/>
        </w:rPr>
        <w:t>。</w:t>
      </w:r>
    </w:p>
    <w:p w14:paraId="23D08DCD">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lang w:val="en-US" w:eastAsia="zh-CN"/>
        </w:rPr>
        <w:t>7</w:t>
      </w:r>
      <w:r>
        <w:rPr>
          <w:rFonts w:hint="eastAsia" w:ascii="宋体" w:hAnsi="宋体" w:cs="宋体"/>
          <w:sz w:val="24"/>
          <w:highlight w:val="none"/>
        </w:rPr>
        <w:t>.2技术培训</w:t>
      </w:r>
    </w:p>
    <w:p w14:paraId="33111E56">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rPr>
        <w:t>(1)供方负责对需方技术人员及运行、维护人员的培训；</w:t>
      </w:r>
    </w:p>
    <w:p w14:paraId="1E3D29CD">
      <w:pPr>
        <w:tabs>
          <w:tab w:val="left" w:pos="1148"/>
        </w:tabs>
        <w:spacing w:line="360" w:lineRule="auto"/>
        <w:ind w:firstLine="480"/>
        <w:jc w:val="left"/>
        <w:rPr>
          <w:rFonts w:hint="eastAsia" w:ascii="宋体" w:hAnsi="宋体" w:cs="宋体"/>
          <w:sz w:val="24"/>
          <w:highlight w:val="none"/>
        </w:rPr>
      </w:pPr>
      <w:r>
        <w:rPr>
          <w:rFonts w:hint="eastAsia" w:ascii="宋体" w:hAnsi="宋体" w:cs="宋体"/>
          <w:sz w:val="24"/>
          <w:highlight w:val="none"/>
        </w:rPr>
        <w:t>(</w:t>
      </w:r>
      <w:r>
        <w:rPr>
          <w:rFonts w:hint="eastAsia" w:ascii="宋体" w:hAnsi="宋体" w:cs="宋体"/>
          <w:sz w:val="24"/>
          <w:highlight w:val="none"/>
          <w:lang w:val="en-US" w:eastAsia="zh-CN"/>
        </w:rPr>
        <w:t>2</w:t>
      </w:r>
      <w:r>
        <w:rPr>
          <w:rFonts w:hint="eastAsia" w:ascii="宋体" w:hAnsi="宋体" w:cs="宋体"/>
          <w:sz w:val="24"/>
          <w:highlight w:val="none"/>
        </w:rPr>
        <w:t>)由供方负责免费提供培训，甲方选派人员参加；</w:t>
      </w:r>
    </w:p>
    <w:p w14:paraId="0291456E">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1" w:name="_Toc26401"/>
      <w:r>
        <w:rPr>
          <w:rFonts w:hint="eastAsia" w:ascii="宋体" w:hAnsi="宋体" w:cs="宋体"/>
          <w:kern w:val="0"/>
          <w:sz w:val="24"/>
          <w:szCs w:val="24"/>
        </w:rPr>
        <w:t>质量保证</w:t>
      </w:r>
      <w:bookmarkEnd w:id="52"/>
      <w:bookmarkEnd w:id="53"/>
      <w:bookmarkEnd w:id="54"/>
      <w:bookmarkEnd w:id="55"/>
      <w:bookmarkEnd w:id="56"/>
      <w:bookmarkEnd w:id="57"/>
      <w:bookmarkEnd w:id="58"/>
      <w:bookmarkEnd w:id="59"/>
      <w:bookmarkEnd w:id="60"/>
      <w:bookmarkEnd w:id="61"/>
    </w:p>
    <w:p w14:paraId="7133198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乙方所提供货物的质量保证期为从乙方所提供货物通过验收后</w:t>
      </w:r>
      <w:r>
        <w:rPr>
          <w:rFonts w:hint="eastAsia" w:ascii="宋体" w:hAnsi="宋体" w:eastAsia="宋体" w:cs="宋体"/>
          <w:sz w:val="24"/>
          <w:szCs w:val="24"/>
          <w:lang w:val="en-US" w:eastAsia="zh-CN"/>
        </w:rPr>
        <w:t>3年</w:t>
      </w:r>
      <w:r>
        <w:rPr>
          <w:rFonts w:hint="eastAsia" w:ascii="宋体" w:hAnsi="宋体" w:eastAsia="宋体" w:cs="宋体"/>
          <w:sz w:val="24"/>
          <w:szCs w:val="24"/>
        </w:rPr>
        <w:t>。</w:t>
      </w:r>
    </w:p>
    <w:p w14:paraId="6F57DC99">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cs="宋体"/>
          <w:sz w:val="24"/>
        </w:rPr>
      </w:pPr>
      <w:r>
        <w:rPr>
          <w:rFonts w:hint="eastAsia" w:ascii="宋体" w:hAnsi="宋体" w:eastAsia="宋体" w:cs="宋体"/>
          <w:sz w:val="24"/>
          <w:szCs w:val="24"/>
        </w:rPr>
        <w:t>在乙方所提供货物质量保证期内，如发现乙方提供的货物有缺陷，不符合甲方规定，乙方应按照甲方要求进行免费修理或更换。</w:t>
      </w:r>
    </w:p>
    <w:p w14:paraId="11E0660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360" w:lineRule="auto"/>
        <w:textAlignment w:val="auto"/>
        <w:rPr>
          <w:rFonts w:hint="eastAsia" w:ascii="宋体" w:hAnsi="宋体" w:cs="宋体"/>
          <w:kern w:val="0"/>
          <w:sz w:val="24"/>
          <w:szCs w:val="24"/>
        </w:rPr>
      </w:pPr>
      <w:bookmarkStart w:id="62" w:name="_Toc1204"/>
      <w:bookmarkStart w:id="63" w:name="_Toc317689847"/>
      <w:bookmarkStart w:id="64" w:name="_Toc306176806"/>
      <w:bookmarkStart w:id="65" w:name="_Toc2446"/>
      <w:bookmarkStart w:id="66" w:name="_Toc22439_WPSOffice_Level1"/>
      <w:bookmarkStart w:id="67" w:name="_Toc23858"/>
      <w:bookmarkStart w:id="68" w:name="_Toc58225924"/>
      <w:bookmarkStart w:id="69" w:name="_Toc4330_WPSOffice_Level1"/>
      <w:bookmarkStart w:id="70" w:name="_Toc28658"/>
      <w:bookmarkStart w:id="71" w:name="_Toc317690135"/>
      <w:r>
        <w:rPr>
          <w:rFonts w:hint="eastAsia" w:ascii="宋体" w:hAnsi="宋体" w:cs="宋体"/>
          <w:kern w:val="0"/>
          <w:sz w:val="24"/>
          <w:szCs w:val="24"/>
        </w:rPr>
        <w:t>包装、运输和贮存</w:t>
      </w:r>
      <w:bookmarkEnd w:id="62"/>
      <w:bookmarkEnd w:id="63"/>
      <w:bookmarkEnd w:id="64"/>
      <w:bookmarkEnd w:id="65"/>
      <w:bookmarkEnd w:id="66"/>
      <w:bookmarkEnd w:id="67"/>
      <w:bookmarkEnd w:id="68"/>
      <w:bookmarkEnd w:id="69"/>
      <w:bookmarkEnd w:id="70"/>
      <w:bookmarkEnd w:id="71"/>
    </w:p>
    <w:p w14:paraId="08BCFACF">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bookmarkStart w:id="72" w:name="_Toc317689848"/>
      <w:bookmarkStart w:id="73" w:name="_Toc317690136"/>
      <w:r>
        <w:rPr>
          <w:rFonts w:hint="eastAsia" w:ascii="宋体" w:hAnsi="宋体" w:eastAsia="宋体" w:cs="宋体"/>
          <w:sz w:val="24"/>
          <w:szCs w:val="24"/>
        </w:rPr>
        <w:t>设备制造完成并通过试验后应及时包装, 否则应得到切实的保护, 确保其不受污损。</w:t>
      </w:r>
      <w:bookmarkEnd w:id="72"/>
      <w:bookmarkEnd w:id="73"/>
    </w:p>
    <w:p w14:paraId="1F4C7A42">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所有部件经妥善包装或装箱后, 在运输过程中尚应采取其它防护措施, 以免散失损坏或被盗。</w:t>
      </w:r>
    </w:p>
    <w:p w14:paraId="0DDE5B98">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在包装箱外应标明需方的订货号、发货号。</w:t>
      </w:r>
    </w:p>
    <w:p w14:paraId="48141C9F">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各种包装应能确保各零部件在运输过程中不致遭到损坏、丢失、变形、受潮和腐蚀。</w:t>
      </w:r>
    </w:p>
    <w:p w14:paraId="6A18F604">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包装箱上应有明显的包装储运图示标志(按GB/T 191-2008)。</w:t>
      </w:r>
    </w:p>
    <w:p w14:paraId="15CE373C">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整体产品或分别运输的部件都要适合运输和装载的要求。</w:t>
      </w:r>
    </w:p>
    <w:p w14:paraId="181C1EED">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随产品提供的技术资料应完整无缺。</w:t>
      </w:r>
    </w:p>
    <w:p w14:paraId="4F76B12D">
      <w:pPr>
        <w:pStyle w:val="5"/>
        <w:keepNext w:val="0"/>
        <w:keepLines w:val="0"/>
        <w:pageBreakBefore w:val="0"/>
        <w:widowControl w:val="0"/>
        <w:numPr>
          <w:ilvl w:val="1"/>
          <w:numId w:val="4"/>
        </w:numPr>
        <w:kinsoku/>
        <w:wordWrap/>
        <w:overflowPunct/>
        <w:topLinePunct w:val="0"/>
        <w:autoSpaceDE/>
        <w:autoSpaceDN/>
        <w:bidi w:val="0"/>
        <w:adjustRightInd/>
        <w:snapToGrid/>
        <w:spacing w:before="0" w:after="0" w:line="360" w:lineRule="auto"/>
        <w:ind w:left="227" w:hanging="227"/>
        <w:textAlignment w:val="auto"/>
        <w:rPr>
          <w:rFonts w:hint="eastAsia" w:ascii="宋体" w:hAnsi="宋体" w:eastAsia="宋体" w:cs="宋体"/>
          <w:sz w:val="24"/>
          <w:szCs w:val="24"/>
        </w:rPr>
      </w:pPr>
      <w:r>
        <w:rPr>
          <w:rFonts w:hint="eastAsia" w:ascii="宋体" w:hAnsi="宋体" w:eastAsia="宋体" w:cs="宋体"/>
          <w:sz w:val="24"/>
          <w:szCs w:val="24"/>
        </w:rPr>
        <w:t xml:space="preserve">订购的新型产品除应满足本技术条件书外， </w:t>
      </w:r>
      <w:r>
        <w:rPr>
          <w:rFonts w:hint="eastAsia" w:ascii="宋体" w:hAnsi="宋体" w:eastAsia="宋体" w:cs="宋体"/>
          <w:sz w:val="24"/>
          <w:szCs w:val="24"/>
          <w:lang w:val="en-US" w:eastAsia="zh-CN"/>
        </w:rPr>
        <w:t>报价</w:t>
      </w:r>
      <w:r>
        <w:rPr>
          <w:rFonts w:hint="eastAsia" w:ascii="宋体" w:hAnsi="宋体" w:eastAsia="宋体" w:cs="宋体"/>
          <w:sz w:val="24"/>
          <w:szCs w:val="24"/>
          <w:lang w:eastAsia="zh-CN"/>
        </w:rPr>
        <w:t>人</w:t>
      </w:r>
      <w:r>
        <w:rPr>
          <w:rFonts w:hint="eastAsia" w:ascii="宋体" w:hAnsi="宋体" w:eastAsia="宋体" w:cs="宋体"/>
          <w:sz w:val="24"/>
          <w:szCs w:val="24"/>
        </w:rPr>
        <w:t>还应提供产品的鉴定证书。</w:t>
      </w:r>
    </w:p>
    <w:p w14:paraId="435AF31C">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应保证制造过程中的所有工艺、材料等（包括</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的外购件在内）均应符合本技术条件书的规定。若</w:t>
      </w:r>
      <w:r>
        <w:rPr>
          <w:rFonts w:hint="eastAsia" w:ascii="宋体" w:hAnsi="宋体" w:eastAsia="宋体" w:cs="宋体"/>
          <w:sz w:val="24"/>
          <w:szCs w:val="24"/>
          <w:lang w:eastAsia="zh-CN"/>
        </w:rPr>
        <w:t>采购方</w:t>
      </w:r>
      <w:r>
        <w:rPr>
          <w:rFonts w:hint="eastAsia" w:ascii="宋体" w:hAnsi="宋体" w:eastAsia="宋体" w:cs="宋体"/>
          <w:sz w:val="24"/>
          <w:szCs w:val="24"/>
        </w:rPr>
        <w:t>根据运行经验指定</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提供某种外购零部件，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应积极配合。</w:t>
      </w:r>
    </w:p>
    <w:p w14:paraId="7E908BEA">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应遵守本技术条件书中各条款和工作项目的ISO900、GB/T1900质量保证体系, 该质量保证体系已经过国家认证和正常运转。</w:t>
      </w:r>
    </w:p>
    <w:p w14:paraId="2115B4D0">
      <w:pPr>
        <w:pStyle w:val="5"/>
        <w:numPr>
          <w:ilvl w:val="1"/>
          <w:numId w:val="4"/>
        </w:numPr>
        <w:adjustRightInd/>
        <w:spacing w:before="0" w:after="0" w:line="360" w:lineRule="auto"/>
        <w:textAlignment w:val="auto"/>
        <w:rPr>
          <w:rFonts w:hint="eastAsia" w:ascii="宋体" w:hAnsi="宋体" w:eastAsia="宋体" w:cs="宋体"/>
          <w:sz w:val="24"/>
          <w:szCs w:val="24"/>
        </w:rPr>
      </w:pPr>
      <w:r>
        <w:rPr>
          <w:rFonts w:hint="eastAsia" w:ascii="宋体" w:hAnsi="宋体" w:eastAsia="宋体" w:cs="宋体"/>
          <w:sz w:val="24"/>
          <w:szCs w:val="24"/>
        </w:rPr>
        <w:t>质保期间，因制造质量问题而发生损坏，或不能正常工作时，</w:t>
      </w:r>
      <w:r>
        <w:rPr>
          <w:rFonts w:hint="eastAsia" w:ascii="宋体" w:hAnsi="宋体" w:eastAsia="宋体" w:cs="宋体"/>
          <w:sz w:val="24"/>
          <w:szCs w:val="24"/>
          <w:lang w:eastAsia="zh-CN"/>
        </w:rPr>
        <w:t>报价</w:t>
      </w:r>
      <w:r>
        <w:rPr>
          <w:rFonts w:hint="eastAsia" w:ascii="宋体" w:hAnsi="宋体" w:eastAsia="宋体" w:cs="宋体"/>
          <w:sz w:val="24"/>
          <w:szCs w:val="24"/>
          <w:lang w:val="en-US" w:eastAsia="zh-CN"/>
        </w:rPr>
        <w:t>方</w:t>
      </w:r>
      <w:r>
        <w:rPr>
          <w:rFonts w:hint="eastAsia" w:ascii="宋体" w:hAnsi="宋体" w:eastAsia="宋体" w:cs="宋体"/>
          <w:sz w:val="24"/>
          <w:szCs w:val="24"/>
        </w:rPr>
        <w:t>应免费为</w:t>
      </w:r>
      <w:r>
        <w:rPr>
          <w:rFonts w:hint="eastAsia" w:ascii="宋体" w:hAnsi="宋体" w:eastAsia="宋体" w:cs="宋体"/>
          <w:sz w:val="24"/>
          <w:szCs w:val="24"/>
          <w:lang w:eastAsia="zh-CN"/>
        </w:rPr>
        <w:t>采购方</w:t>
      </w:r>
      <w:r>
        <w:rPr>
          <w:rFonts w:hint="eastAsia" w:ascii="宋体" w:hAnsi="宋体" w:eastAsia="宋体" w:cs="宋体"/>
          <w:sz w:val="24"/>
          <w:szCs w:val="24"/>
        </w:rPr>
        <w:t>修理或更换零部件。</w:t>
      </w:r>
    </w:p>
    <w:bookmarkEnd w:id="51"/>
    <w:p w14:paraId="59A2C388">
      <w:pPr>
        <w:pStyle w:val="13"/>
        <w:rPr>
          <w:rFonts w:hint="eastAsia"/>
          <w:sz w:val="24"/>
          <w:szCs w:val="24"/>
        </w:rPr>
      </w:pPr>
    </w:p>
    <w:sectPr>
      <w:footerReference r:id="rId5" w:type="default"/>
      <w:pgSz w:w="11907" w:h="16840"/>
      <w:pgMar w:top="1701" w:right="1021" w:bottom="1418" w:left="1588" w:header="720" w:footer="992" w:gutter="0"/>
      <w:pgBorders>
        <w:top w:val="none" w:sz="0" w:space="0"/>
        <w:left w:val="none" w:sz="0" w:space="0"/>
        <w:bottom w:val="none" w:sz="0" w:space="0"/>
        <w:right w:val="none" w:sz="0" w:space="0"/>
      </w:pgBorders>
      <w:cols w:space="720" w:num="1"/>
      <w:docGrid w:linePitch="38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503050405090304"/>
    <w:charset w:val="86"/>
    <w:family w:val="roman"/>
    <w:pitch w:val="default"/>
    <w:sig w:usb0="00000000" w:usb1="00000000" w:usb2="00000001" w:usb3="00000000" w:csb0="400001BF" w:csb1="DFF70000"/>
  </w:font>
  <w:font w:name="宋体">
    <w:altName w:val="方正书宋_GBK"/>
    <w:panose1 w:val="02010600030101010101"/>
    <w:charset w:val="80"/>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DejaVu Sans">
    <w:panose1 w:val="020B0603030804020204"/>
    <w:charset w:val="00"/>
    <w:family w:val="auto"/>
    <w:pitch w:val="default"/>
    <w:sig w:usb0="E7006EFF" w:usb1="D200FDFF" w:usb2="0A246029" w:usb3="0400200C" w:csb0="600001FF" w:csb1="DFFF0000"/>
  </w:font>
  <w:font w:name="Calibri">
    <w:altName w:val="微软雅黑"/>
    <w:panose1 w:val="020F0502020204030204"/>
    <w:charset w:val="00"/>
    <w:family w:val="swiss"/>
    <w:pitch w:val="default"/>
    <w:sig w:usb0="00000000" w:usb1="00000000" w:usb2="00000001" w:usb3="00000000" w:csb0="0000019F" w:csb1="00000000"/>
  </w:font>
  <w:font w:name="微软雅黑">
    <w:panose1 w:val="020B0503020204020204"/>
    <w:charset w:val="86"/>
    <w:family w:val="auto"/>
    <w:pitch w:val="default"/>
    <w:sig w:usb0="80000287" w:usb1="280F3C52" w:usb2="00000016" w:usb3="00000000" w:csb0="0004001F"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ˎ̥">
    <w:altName w:val="微软雅黑"/>
    <w:panose1 w:val="00000000000000000000"/>
    <w:charset w:val="00"/>
    <w:family w:val="roman"/>
    <w:pitch w:val="default"/>
    <w:sig w:usb0="00000000" w:usb1="00000000" w:usb2="00000000" w:usb3="00000000" w:csb0="00040001" w:csb1="00000000"/>
  </w:font>
  <w:font w:name="等线">
    <w:altName w:val="微软雅黑"/>
    <w:panose1 w:val="02010600030101010101"/>
    <w:charset w:val="86"/>
    <w:family w:val="auto"/>
    <w:pitch w:val="default"/>
    <w:sig w:usb0="00000000" w:usb1="00000000" w:usb2="00000016" w:usb3="00000000" w:csb0="0004000F" w:csb1="00000000"/>
  </w:font>
  <w:font w:name="方正兰亭黑简体">
    <w:altName w:val="方正黑体_GBK"/>
    <w:panose1 w:val="00000000000000000000"/>
    <w:charset w:val="00"/>
    <w:family w:val="auto"/>
    <w:pitch w:val="default"/>
    <w:sig w:usb0="00000000" w:usb1="00000000" w:usb2="00000000" w:usb3="00000000" w:csb0="00000000" w:csb1="00000000"/>
  </w:font>
  <w:font w:name="Cambria">
    <w:altName w:val="Noto Sans Syriac Eastern"/>
    <w:panose1 w:val="02040503050406030204"/>
    <w:charset w:val="00"/>
    <w:family w:val="roman"/>
    <w:pitch w:val="default"/>
    <w:sig w:usb0="00000000" w:usb1="00000000" w:usb2="02000000" w:usb3="00000000" w:csb0="2000019F" w:csb1="00000000"/>
  </w:font>
  <w:font w:name="Noto Sans Syriac Eastern">
    <w:panose1 w:val="02040503050306020203"/>
    <w:charset w:val="86"/>
    <w:family w:val="auto"/>
    <w:pitch w:val="default"/>
    <w:sig w:usb0="00000000" w:usb1="00000000" w:usb2="00000080" w:usb3="00000000" w:csb0="203E0161" w:csb1="D7FF0000"/>
  </w:font>
  <w:font w:name="方正书宋简体">
    <w:altName w:val="方正书宋_GBK"/>
    <w:panose1 w:val="00000000000000000000"/>
    <w:charset w:val="86"/>
    <w:family w:val="auto"/>
    <w:pitch w:val="default"/>
    <w:sig w:usb0="00000000" w:usb1="00000000" w:usb2="00000010" w:usb3="00000000" w:csb0="00040000" w:csb1="00000000"/>
  </w:font>
  <w:font w:name="仿宋">
    <w:altName w:val="微软雅黑"/>
    <w:panose1 w:val="02010609060101010101"/>
    <w:charset w:val="00"/>
    <w:family w:val="auto"/>
    <w:pitch w:val="default"/>
    <w:sig w:usb0="00000000" w:usb1="0000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9E9D14">
    <w:pPr>
      <w:pStyle w:val="18"/>
      <w:framePr w:wrap="around" w:vAnchor="text" w:hAnchor="margin" w:xAlign="outside" w:y="1"/>
      <w:ind w:firstLine="360"/>
      <w:rPr>
        <w:rStyle w:val="28"/>
        <w:rFonts w:hint="eastAsia"/>
      </w:rPr>
    </w:pPr>
  </w:p>
  <w:p w14:paraId="6D80D25A">
    <w:pPr>
      <w:pStyle w:val="18"/>
      <w:ind w:firstLine="360"/>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EE266D">
    <w:pPr>
      <w:pStyle w:val="18"/>
      <w:jc w:val="both"/>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6307CA">
    <w:pPr>
      <w:pStyle w:val="18"/>
      <w:ind w:firstLine="360"/>
      <w:jc w:val="center"/>
      <w:rPr>
        <w:rFonts w:hint="eastAsia"/>
      </w:rP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5</w:t>
    </w:r>
    <w:r>
      <w:rPr>
        <w:kern w:val="0"/>
        <w:szCs w:val="21"/>
      </w:rPr>
      <w:fldChar w:fldCharType="end"/>
    </w:r>
    <w:r>
      <w:rPr>
        <w:rFonts w:hint="eastAsia"/>
        <w:kern w:val="0"/>
        <w:szCs w:val="21"/>
      </w:rPr>
      <w:t xml:space="preserve"> 页</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95501A"/>
    <w:multiLevelType w:val="multilevel"/>
    <w:tmpl w:val="0595501A"/>
    <w:lvl w:ilvl="0" w:tentative="0">
      <w:start w:val="1"/>
      <w:numFmt w:val="decimal"/>
      <w:suff w:val="space"/>
      <w:lvlText w:val="%1."/>
      <w:lvlJc w:val="left"/>
      <w:pPr>
        <w:ind w:left="0" w:firstLine="0"/>
      </w:pPr>
      <w:rPr>
        <w:rFonts w:hint="eastAsia"/>
      </w:rPr>
    </w:lvl>
    <w:lvl w:ilvl="1" w:tentative="0">
      <w:start w:val="1"/>
      <w:numFmt w:val="decimal"/>
      <w:isLgl/>
      <w:suff w:val="space"/>
      <w:lvlText w:val="%1.%2"/>
      <w:lvlJc w:val="left"/>
      <w:pPr>
        <w:ind w:left="0" w:firstLine="0"/>
      </w:pPr>
      <w:rPr>
        <w:rFonts w:hint="default" w:ascii="Times New Roman" w:hAnsi="Times New Roman" w:cs="Times New Roman"/>
        <w:b/>
      </w:rPr>
    </w:lvl>
    <w:lvl w:ilvl="2" w:tentative="0">
      <w:start w:val="1"/>
      <w:numFmt w:val="decimal"/>
      <w:isLgl/>
      <w:suff w:val="space"/>
      <w:lvlText w:val="%1.%2.%3"/>
      <w:lvlJc w:val="left"/>
      <w:pPr>
        <w:ind w:left="0" w:firstLine="0"/>
      </w:pPr>
      <w:rPr>
        <w:rFonts w:hint="default" w:ascii="Times New Roman" w:hAnsi="Times New Roman" w:cs="Times New Roman"/>
        <w:b w:val="0"/>
        <w:i w:val="0"/>
      </w:rPr>
    </w:lvl>
    <w:lvl w:ilvl="3" w:tentative="0">
      <w:start w:val="1"/>
      <w:numFmt w:val="decimal"/>
      <w:pStyle w:val="68"/>
      <w:isLgl/>
      <w:suff w:val="space"/>
      <w:lvlText w:val="%1.%2.%3.%4"/>
      <w:lvlJc w:val="left"/>
      <w:pPr>
        <w:ind w:left="0" w:firstLine="0"/>
      </w:pPr>
      <w:rPr>
        <w:rFonts w:hint="eastAsia"/>
      </w:rPr>
    </w:lvl>
    <w:lvl w:ilvl="4" w:tentative="0">
      <w:start w:val="1"/>
      <w:numFmt w:val="decimal"/>
      <w:isLgl/>
      <w:lvlText w:val="%1.%2.%3.%4.%5"/>
      <w:lvlJc w:val="left"/>
      <w:pPr>
        <w:tabs>
          <w:tab w:val="left" w:pos="426"/>
        </w:tabs>
        <w:ind w:left="426" w:firstLine="0"/>
      </w:pPr>
      <w:rPr>
        <w:rFonts w:hint="eastAsia"/>
      </w:rPr>
    </w:lvl>
    <w:lvl w:ilvl="5" w:tentative="0">
      <w:start w:val="1"/>
      <w:numFmt w:val="decimal"/>
      <w:lvlText w:val="%1.%2.%3.%4.%5.%6"/>
      <w:lvlJc w:val="left"/>
      <w:pPr>
        <w:tabs>
          <w:tab w:val="left" w:pos="6086"/>
        </w:tabs>
        <w:ind w:left="3260" w:hanging="1134"/>
      </w:pPr>
      <w:rPr>
        <w:rFonts w:hint="eastAsia"/>
      </w:rPr>
    </w:lvl>
    <w:lvl w:ilvl="6" w:tentative="0">
      <w:start w:val="1"/>
      <w:numFmt w:val="decimal"/>
      <w:lvlText w:val="%1.%2.%3.%4.%5.%6.%7"/>
      <w:lvlJc w:val="left"/>
      <w:pPr>
        <w:tabs>
          <w:tab w:val="left" w:pos="7231"/>
        </w:tabs>
        <w:ind w:left="3827" w:hanging="1276"/>
      </w:pPr>
      <w:rPr>
        <w:rFonts w:hint="eastAsia"/>
      </w:rPr>
    </w:lvl>
    <w:lvl w:ilvl="7" w:tentative="0">
      <w:start w:val="1"/>
      <w:numFmt w:val="decimal"/>
      <w:lvlText w:val="%1.%2.%3.%4.%5.%6.%7.%8"/>
      <w:lvlJc w:val="left"/>
      <w:pPr>
        <w:tabs>
          <w:tab w:val="left" w:pos="8376"/>
        </w:tabs>
        <w:ind w:left="4394" w:hanging="1418"/>
      </w:pPr>
      <w:rPr>
        <w:rFonts w:hint="eastAsia"/>
      </w:rPr>
    </w:lvl>
    <w:lvl w:ilvl="8" w:tentative="0">
      <w:start w:val="1"/>
      <w:numFmt w:val="decimal"/>
      <w:lvlText w:val="%1.%2.%3.%4.%5.%6.%7.%8.%9"/>
      <w:lvlJc w:val="left"/>
      <w:pPr>
        <w:tabs>
          <w:tab w:val="left" w:pos="9522"/>
        </w:tabs>
        <w:ind w:left="5102" w:hanging="1700"/>
      </w:pPr>
      <w:rPr>
        <w:rFonts w:hint="eastAsia"/>
      </w:rPr>
    </w:lvl>
  </w:abstractNum>
  <w:abstractNum w:abstractNumId="1">
    <w:nsid w:val="09F53057"/>
    <w:multiLevelType w:val="multilevel"/>
    <w:tmpl w:val="09F53057"/>
    <w:lvl w:ilvl="0" w:tentative="0">
      <w:start w:val="1"/>
      <w:numFmt w:val="decimal"/>
      <w:pStyle w:val="64"/>
      <w:lvlText w:val="%1."/>
      <w:lvlJc w:val="left"/>
      <w:pPr>
        <w:ind w:left="846" w:hanging="420"/>
      </w:pPr>
    </w:lvl>
    <w:lvl w:ilvl="1" w:tentative="0">
      <w:start w:val="1"/>
      <w:numFmt w:val="lowerLetter"/>
      <w:lvlText w:val="%2)"/>
      <w:lvlJc w:val="left"/>
      <w:pPr>
        <w:ind w:left="1266" w:hanging="420"/>
      </w:pPr>
    </w:lvl>
    <w:lvl w:ilvl="2" w:tentative="0">
      <w:start w:val="1"/>
      <w:numFmt w:val="lowerRoman"/>
      <w:lvlText w:val="%3."/>
      <w:lvlJc w:val="right"/>
      <w:pPr>
        <w:ind w:left="1686" w:hanging="420"/>
      </w:pPr>
    </w:lvl>
    <w:lvl w:ilvl="3" w:tentative="0">
      <w:start w:val="1"/>
      <w:numFmt w:val="decimal"/>
      <w:lvlText w:val="%4."/>
      <w:lvlJc w:val="left"/>
      <w:pPr>
        <w:ind w:left="2106" w:hanging="420"/>
      </w:pPr>
    </w:lvl>
    <w:lvl w:ilvl="4" w:tentative="0">
      <w:start w:val="1"/>
      <w:numFmt w:val="lowerLetter"/>
      <w:lvlText w:val="%5)"/>
      <w:lvlJc w:val="left"/>
      <w:pPr>
        <w:ind w:left="2526" w:hanging="420"/>
      </w:pPr>
    </w:lvl>
    <w:lvl w:ilvl="5" w:tentative="0">
      <w:start w:val="1"/>
      <w:numFmt w:val="lowerRoman"/>
      <w:lvlText w:val="%6."/>
      <w:lvlJc w:val="right"/>
      <w:pPr>
        <w:ind w:left="2946" w:hanging="420"/>
      </w:pPr>
    </w:lvl>
    <w:lvl w:ilvl="6" w:tentative="0">
      <w:start w:val="1"/>
      <w:numFmt w:val="decimal"/>
      <w:lvlText w:val="%7."/>
      <w:lvlJc w:val="left"/>
      <w:pPr>
        <w:ind w:left="3366" w:hanging="420"/>
      </w:pPr>
    </w:lvl>
    <w:lvl w:ilvl="7" w:tentative="0">
      <w:start w:val="1"/>
      <w:numFmt w:val="lowerLetter"/>
      <w:lvlText w:val="%8)"/>
      <w:lvlJc w:val="left"/>
      <w:pPr>
        <w:ind w:left="3786" w:hanging="420"/>
      </w:pPr>
    </w:lvl>
    <w:lvl w:ilvl="8" w:tentative="0">
      <w:start w:val="1"/>
      <w:numFmt w:val="lowerRoman"/>
      <w:lvlText w:val="%9."/>
      <w:lvlJc w:val="right"/>
      <w:pPr>
        <w:ind w:left="4206" w:hanging="420"/>
      </w:pPr>
    </w:lvl>
  </w:abstractNum>
  <w:abstractNum w:abstractNumId="2">
    <w:nsid w:val="264D2585"/>
    <w:multiLevelType w:val="singleLevel"/>
    <w:tmpl w:val="264D2585"/>
    <w:lvl w:ilvl="0" w:tentative="0">
      <w:start w:val="1"/>
      <w:numFmt w:val="bullet"/>
      <w:suff w:val="space"/>
      <w:lvlText w:val=""/>
      <w:lvlJc w:val="left"/>
      <w:pPr>
        <w:ind w:left="840" w:hanging="420"/>
      </w:pPr>
      <w:rPr>
        <w:rFonts w:hint="default" w:ascii="Wingdings" w:hAnsi="Wingdings"/>
      </w:rPr>
    </w:lvl>
  </w:abstractNum>
  <w:abstractNum w:abstractNumId="3">
    <w:nsid w:val="303D51EF"/>
    <w:multiLevelType w:val="multilevel"/>
    <w:tmpl w:val="303D51EF"/>
    <w:lvl w:ilvl="0" w:tentative="0">
      <w:start w:val="1"/>
      <w:numFmt w:val="decimal"/>
      <w:suff w:val="space"/>
      <w:lvlText w:val="%1"/>
      <w:lvlJc w:val="left"/>
      <w:pPr>
        <w:ind w:left="0" w:firstLine="0"/>
      </w:pPr>
      <w:rPr>
        <w:rFonts w:hint="eastAsia"/>
      </w:rPr>
    </w:lvl>
    <w:lvl w:ilvl="1" w:tentative="0">
      <w:start w:val="1"/>
      <w:numFmt w:val="decimal"/>
      <w:suff w:val="space"/>
      <w:lvlText w:val="%1.%2"/>
      <w:lvlJc w:val="left"/>
      <w:pPr>
        <w:ind w:left="227" w:hanging="227"/>
      </w:pPr>
      <w:rPr>
        <w:rFonts w:hint="eastAsia"/>
        <w:sz w:val="24"/>
        <w:szCs w:val="21"/>
      </w:rPr>
    </w:lvl>
    <w:lvl w:ilvl="2" w:tentative="0">
      <w:start w:val="1"/>
      <w:numFmt w:val="decimal"/>
      <w:suff w:val="space"/>
      <w:lvlText w:val="%1.%2.%3"/>
      <w:lvlJc w:val="left"/>
      <w:pPr>
        <w:ind w:left="1418" w:hanging="567"/>
      </w:pPr>
      <w:rPr>
        <w:rFonts w:hint="eastAsia"/>
      </w:rPr>
    </w:lvl>
    <w:lvl w:ilvl="3" w:tentative="0">
      <w:start w:val="1"/>
      <w:numFmt w:val="decimal"/>
      <w:lvlText w:val="%1.%2.%3.%4"/>
      <w:lvlJc w:val="left"/>
      <w:pPr>
        <w:tabs>
          <w:tab w:val="left" w:pos="2716"/>
        </w:tabs>
        <w:ind w:left="1984" w:hanging="708"/>
      </w:pPr>
      <w:rPr>
        <w:rFonts w:hint="eastAsia"/>
      </w:rPr>
    </w:lvl>
    <w:lvl w:ilvl="4" w:tentative="0">
      <w:start w:val="1"/>
      <w:numFmt w:val="decimal"/>
      <w:lvlText w:val="%1.%2.%3.%4.%5"/>
      <w:lvlJc w:val="left"/>
      <w:pPr>
        <w:tabs>
          <w:tab w:val="left" w:pos="3501"/>
        </w:tabs>
        <w:ind w:left="2551" w:hanging="850"/>
      </w:pPr>
      <w:rPr>
        <w:rFonts w:hint="eastAsia"/>
      </w:rPr>
    </w:lvl>
    <w:lvl w:ilvl="5" w:tentative="0">
      <w:start w:val="1"/>
      <w:numFmt w:val="decimal"/>
      <w:lvlText w:val="%1.%2.%3.%4.%5.%6"/>
      <w:lvlJc w:val="left"/>
      <w:pPr>
        <w:tabs>
          <w:tab w:val="left" w:pos="4286"/>
        </w:tabs>
        <w:ind w:left="3260" w:hanging="1134"/>
      </w:pPr>
      <w:rPr>
        <w:rFonts w:hint="eastAsia"/>
      </w:rPr>
    </w:lvl>
    <w:lvl w:ilvl="6" w:tentative="0">
      <w:start w:val="1"/>
      <w:numFmt w:val="decimal"/>
      <w:lvlText w:val="%1.%2.%3.%4.%5.%6.%7"/>
      <w:lvlJc w:val="left"/>
      <w:pPr>
        <w:tabs>
          <w:tab w:val="left" w:pos="5071"/>
        </w:tabs>
        <w:ind w:left="3827" w:hanging="1276"/>
      </w:pPr>
      <w:rPr>
        <w:rFonts w:hint="eastAsia"/>
      </w:rPr>
    </w:lvl>
    <w:lvl w:ilvl="7" w:tentative="0">
      <w:start w:val="1"/>
      <w:numFmt w:val="decimal"/>
      <w:lvlText w:val="%1.%2.%3.%4.%5.%6.%7.%8"/>
      <w:lvlJc w:val="left"/>
      <w:pPr>
        <w:tabs>
          <w:tab w:val="left" w:pos="5856"/>
        </w:tabs>
        <w:ind w:left="4394" w:hanging="1418"/>
      </w:pPr>
      <w:rPr>
        <w:rFonts w:hint="eastAsia"/>
      </w:rPr>
    </w:lvl>
    <w:lvl w:ilvl="8" w:tentative="0">
      <w:start w:val="1"/>
      <w:numFmt w:val="decimal"/>
      <w:lvlText w:val="%1.%2.%3.%4.%5.%6.%7.%8.%9"/>
      <w:lvlJc w:val="left"/>
      <w:pPr>
        <w:tabs>
          <w:tab w:val="left" w:pos="6282"/>
        </w:tabs>
        <w:ind w:left="5102" w:hanging="1700"/>
      </w:pPr>
      <w:rPr>
        <w:rFonts w:hint="eastAsia"/>
      </w:rPr>
    </w:lvl>
  </w:abstractNum>
  <w:abstractNum w:abstractNumId="4">
    <w:nsid w:val="6CEA2025"/>
    <w:multiLevelType w:val="multilevel"/>
    <w:tmpl w:val="6CEA2025"/>
    <w:lvl w:ilvl="0" w:tentative="0">
      <w:start w:val="1"/>
      <w:numFmt w:val="none"/>
      <w:pStyle w:val="58"/>
      <w:suff w:val="nothing"/>
      <w:lvlText w:val="%1"/>
      <w:lvlJc w:val="left"/>
      <w:pPr>
        <w:ind w:left="0" w:firstLine="0"/>
      </w:pPr>
      <w:rPr>
        <w:rFonts w:hint="default" w:ascii="Times New Roman" w:hAnsi="Times New Roman"/>
        <w:b/>
        <w:i w:val="0"/>
        <w:sz w:val="21"/>
      </w:rPr>
    </w:lvl>
    <w:lvl w:ilvl="1" w:tentative="0">
      <w:start w:val="1"/>
      <w:numFmt w:val="decimal"/>
      <w:pStyle w:val="40"/>
      <w:suff w:val="nothing"/>
      <w:lvlText w:val="%1%2　"/>
      <w:lvlJc w:val="left"/>
      <w:pPr>
        <w:ind w:left="0" w:firstLine="0"/>
      </w:pPr>
      <w:rPr>
        <w:rFonts w:hint="eastAsia" w:ascii="黑体" w:hAnsi="Times New Roman" w:eastAsia="黑体"/>
        <w:b w:val="0"/>
        <w:i w:val="0"/>
        <w:sz w:val="21"/>
      </w:rPr>
    </w:lvl>
    <w:lvl w:ilvl="2" w:tentative="0">
      <w:start w:val="1"/>
      <w:numFmt w:val="decimal"/>
      <w:pStyle w:val="39"/>
      <w:suff w:val="nothing"/>
      <w:lvlText w:val="%1%2.%3　"/>
      <w:lvlJc w:val="left"/>
      <w:pPr>
        <w:ind w:left="0" w:firstLine="0"/>
      </w:pPr>
      <w:rPr>
        <w:rFonts w:hint="eastAsia" w:ascii="黑体" w:hAnsi="Times New Roman" w:eastAsia="黑体"/>
        <w:b w:val="0"/>
        <w:i w:val="0"/>
        <w:sz w:val="21"/>
      </w:rPr>
    </w:lvl>
    <w:lvl w:ilvl="3" w:tentative="0">
      <w:start w:val="1"/>
      <w:numFmt w:val="decimal"/>
      <w:pStyle w:val="41"/>
      <w:suff w:val="nothing"/>
      <w:lvlText w:val="%1%2.%3.%4　"/>
      <w:lvlJc w:val="left"/>
      <w:pPr>
        <w:ind w:left="0" w:firstLine="0"/>
      </w:pPr>
      <w:rPr>
        <w:rFonts w:hint="eastAsia" w:ascii="黑体" w:hAnsi="Times New Roman" w:eastAsia="黑体"/>
        <w:b w:val="0"/>
        <w:i w:val="0"/>
        <w:sz w:val="21"/>
      </w:rPr>
    </w:lvl>
    <w:lvl w:ilvl="4" w:tentative="0">
      <w:start w:val="1"/>
      <w:numFmt w:val="decimal"/>
      <w:pStyle w:val="63"/>
      <w:suff w:val="nothing"/>
      <w:lvlText w:val="%1%2.%3.%4.%5　"/>
      <w:lvlJc w:val="left"/>
      <w:pPr>
        <w:ind w:left="0" w:firstLine="0"/>
      </w:pPr>
      <w:rPr>
        <w:rFonts w:hint="eastAsia" w:ascii="黑体" w:hAnsi="Times New Roman" w:eastAsia="黑体"/>
        <w:b w:val="0"/>
        <w:i w:val="0"/>
        <w:sz w:val="21"/>
      </w:rPr>
    </w:lvl>
    <w:lvl w:ilvl="5" w:tentative="0">
      <w:start w:val="1"/>
      <w:numFmt w:val="decimal"/>
      <w:pStyle w:val="47"/>
      <w:suff w:val="nothing"/>
      <w:lvlText w:val="%1%2.%3.%4.%5.%6　"/>
      <w:lvlJc w:val="left"/>
      <w:pPr>
        <w:ind w:left="0" w:firstLine="0"/>
      </w:pPr>
      <w:rPr>
        <w:rFonts w:hint="eastAsia" w:ascii="黑体" w:hAnsi="Times New Roman" w:eastAsia="黑体"/>
        <w:b w:val="0"/>
        <w:i w:val="0"/>
        <w:sz w:val="21"/>
      </w:rPr>
    </w:lvl>
    <w:lvl w:ilvl="6" w:tentative="0">
      <w:start w:val="1"/>
      <w:numFmt w:val="decimal"/>
      <w:pStyle w:val="5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4"/>
  </w:num>
  <w:num w:numId="2">
    <w:abstractNumId w:val="1"/>
  </w:num>
  <w:num w:numId="3">
    <w:abstractNumId w:val="0"/>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5485"/>
    <w:rsid w:val="0000491B"/>
    <w:rsid w:val="00011B3E"/>
    <w:rsid w:val="00027568"/>
    <w:rsid w:val="000277AF"/>
    <w:rsid w:val="000304EE"/>
    <w:rsid w:val="00034483"/>
    <w:rsid w:val="000430AB"/>
    <w:rsid w:val="00053CF8"/>
    <w:rsid w:val="000735EF"/>
    <w:rsid w:val="00082452"/>
    <w:rsid w:val="00093D4F"/>
    <w:rsid w:val="000B3279"/>
    <w:rsid w:val="000B6A96"/>
    <w:rsid w:val="000C1707"/>
    <w:rsid w:val="000C2285"/>
    <w:rsid w:val="000D2B88"/>
    <w:rsid w:val="000D5553"/>
    <w:rsid w:val="000D5876"/>
    <w:rsid w:val="000E1DB9"/>
    <w:rsid w:val="000E2E10"/>
    <w:rsid w:val="000E59CC"/>
    <w:rsid w:val="000F79EB"/>
    <w:rsid w:val="001266BD"/>
    <w:rsid w:val="00137317"/>
    <w:rsid w:val="001453A8"/>
    <w:rsid w:val="001863BC"/>
    <w:rsid w:val="001945CC"/>
    <w:rsid w:val="001A57F7"/>
    <w:rsid w:val="001B19EA"/>
    <w:rsid w:val="001B47FD"/>
    <w:rsid w:val="001C1ECE"/>
    <w:rsid w:val="001D3623"/>
    <w:rsid w:val="001E0220"/>
    <w:rsid w:val="001F0793"/>
    <w:rsid w:val="002033C7"/>
    <w:rsid w:val="00204545"/>
    <w:rsid w:val="00207944"/>
    <w:rsid w:val="00216CE3"/>
    <w:rsid w:val="00223E06"/>
    <w:rsid w:val="002406F5"/>
    <w:rsid w:val="00241BA1"/>
    <w:rsid w:val="00246C56"/>
    <w:rsid w:val="00260A2F"/>
    <w:rsid w:val="00270012"/>
    <w:rsid w:val="00274E8B"/>
    <w:rsid w:val="00281994"/>
    <w:rsid w:val="002879EE"/>
    <w:rsid w:val="00293A25"/>
    <w:rsid w:val="002B39EA"/>
    <w:rsid w:val="002C6544"/>
    <w:rsid w:val="002E195B"/>
    <w:rsid w:val="002E4660"/>
    <w:rsid w:val="0030280C"/>
    <w:rsid w:val="00303643"/>
    <w:rsid w:val="003258F8"/>
    <w:rsid w:val="00373528"/>
    <w:rsid w:val="003B109D"/>
    <w:rsid w:val="003B1E8E"/>
    <w:rsid w:val="003C38CB"/>
    <w:rsid w:val="00414442"/>
    <w:rsid w:val="00416210"/>
    <w:rsid w:val="00433A13"/>
    <w:rsid w:val="0043522F"/>
    <w:rsid w:val="004378E6"/>
    <w:rsid w:val="00463930"/>
    <w:rsid w:val="004A1972"/>
    <w:rsid w:val="004B422B"/>
    <w:rsid w:val="004C1528"/>
    <w:rsid w:val="004D793C"/>
    <w:rsid w:val="004F357F"/>
    <w:rsid w:val="00503EC8"/>
    <w:rsid w:val="00504B76"/>
    <w:rsid w:val="00513E72"/>
    <w:rsid w:val="0053214F"/>
    <w:rsid w:val="00543FB5"/>
    <w:rsid w:val="005522A5"/>
    <w:rsid w:val="0056265D"/>
    <w:rsid w:val="00563D62"/>
    <w:rsid w:val="005742FA"/>
    <w:rsid w:val="00575472"/>
    <w:rsid w:val="00586EE8"/>
    <w:rsid w:val="005A03FE"/>
    <w:rsid w:val="005B7F19"/>
    <w:rsid w:val="005C163E"/>
    <w:rsid w:val="005C214E"/>
    <w:rsid w:val="005F235F"/>
    <w:rsid w:val="006037F2"/>
    <w:rsid w:val="006179B0"/>
    <w:rsid w:val="006256DA"/>
    <w:rsid w:val="00630C3F"/>
    <w:rsid w:val="00633991"/>
    <w:rsid w:val="00640634"/>
    <w:rsid w:val="006516B3"/>
    <w:rsid w:val="00662A32"/>
    <w:rsid w:val="00684605"/>
    <w:rsid w:val="006865D9"/>
    <w:rsid w:val="006B0707"/>
    <w:rsid w:val="006C21A1"/>
    <w:rsid w:val="00723E2D"/>
    <w:rsid w:val="00726B0D"/>
    <w:rsid w:val="00741658"/>
    <w:rsid w:val="00750C68"/>
    <w:rsid w:val="00767790"/>
    <w:rsid w:val="00787235"/>
    <w:rsid w:val="00796E25"/>
    <w:rsid w:val="007A7896"/>
    <w:rsid w:val="007B38EA"/>
    <w:rsid w:val="007D033E"/>
    <w:rsid w:val="007D6095"/>
    <w:rsid w:val="008010D5"/>
    <w:rsid w:val="00812523"/>
    <w:rsid w:val="00812A3F"/>
    <w:rsid w:val="00817ED3"/>
    <w:rsid w:val="00835F5B"/>
    <w:rsid w:val="008463E2"/>
    <w:rsid w:val="00846A78"/>
    <w:rsid w:val="00847800"/>
    <w:rsid w:val="0085072F"/>
    <w:rsid w:val="00860086"/>
    <w:rsid w:val="0086797C"/>
    <w:rsid w:val="008B546E"/>
    <w:rsid w:val="008B59C4"/>
    <w:rsid w:val="008D7018"/>
    <w:rsid w:val="008E0719"/>
    <w:rsid w:val="008E1595"/>
    <w:rsid w:val="008E5F07"/>
    <w:rsid w:val="008E7CD9"/>
    <w:rsid w:val="00912138"/>
    <w:rsid w:val="0091511F"/>
    <w:rsid w:val="009201D7"/>
    <w:rsid w:val="009221A7"/>
    <w:rsid w:val="009301D8"/>
    <w:rsid w:val="00932229"/>
    <w:rsid w:val="00972FB3"/>
    <w:rsid w:val="00973A35"/>
    <w:rsid w:val="00987F81"/>
    <w:rsid w:val="009A56FC"/>
    <w:rsid w:val="009B5DC7"/>
    <w:rsid w:val="009D508A"/>
    <w:rsid w:val="009F0EF1"/>
    <w:rsid w:val="009F39FA"/>
    <w:rsid w:val="00A00BFD"/>
    <w:rsid w:val="00A17DAC"/>
    <w:rsid w:val="00A30A80"/>
    <w:rsid w:val="00A3515B"/>
    <w:rsid w:val="00A44784"/>
    <w:rsid w:val="00A71C0E"/>
    <w:rsid w:val="00A76C00"/>
    <w:rsid w:val="00AC2DEE"/>
    <w:rsid w:val="00AF7800"/>
    <w:rsid w:val="00B63E45"/>
    <w:rsid w:val="00B7291B"/>
    <w:rsid w:val="00B83FBB"/>
    <w:rsid w:val="00B942B2"/>
    <w:rsid w:val="00BA04CC"/>
    <w:rsid w:val="00BA1B37"/>
    <w:rsid w:val="00BA4147"/>
    <w:rsid w:val="00BD715C"/>
    <w:rsid w:val="00BE5147"/>
    <w:rsid w:val="00BF19FB"/>
    <w:rsid w:val="00C50363"/>
    <w:rsid w:val="00C62414"/>
    <w:rsid w:val="00C73186"/>
    <w:rsid w:val="00C87532"/>
    <w:rsid w:val="00CA35E1"/>
    <w:rsid w:val="00CB328E"/>
    <w:rsid w:val="00CB5E55"/>
    <w:rsid w:val="00CC75CC"/>
    <w:rsid w:val="00CD6255"/>
    <w:rsid w:val="00CF7AB5"/>
    <w:rsid w:val="00D07120"/>
    <w:rsid w:val="00D104B1"/>
    <w:rsid w:val="00D36F7E"/>
    <w:rsid w:val="00D37F98"/>
    <w:rsid w:val="00D408A5"/>
    <w:rsid w:val="00D60680"/>
    <w:rsid w:val="00D648A8"/>
    <w:rsid w:val="00D837DD"/>
    <w:rsid w:val="00D952C9"/>
    <w:rsid w:val="00D95485"/>
    <w:rsid w:val="00DA0BD6"/>
    <w:rsid w:val="00DB0DF7"/>
    <w:rsid w:val="00DC5646"/>
    <w:rsid w:val="00DC6AE1"/>
    <w:rsid w:val="00DC6FF3"/>
    <w:rsid w:val="00DE5CFE"/>
    <w:rsid w:val="00DE7403"/>
    <w:rsid w:val="00E0614E"/>
    <w:rsid w:val="00E171E0"/>
    <w:rsid w:val="00E423E3"/>
    <w:rsid w:val="00E4600E"/>
    <w:rsid w:val="00E56A81"/>
    <w:rsid w:val="00E610C3"/>
    <w:rsid w:val="00E67196"/>
    <w:rsid w:val="00E72ADE"/>
    <w:rsid w:val="00E7485D"/>
    <w:rsid w:val="00E820C4"/>
    <w:rsid w:val="00E937E9"/>
    <w:rsid w:val="00E955F4"/>
    <w:rsid w:val="00EA5542"/>
    <w:rsid w:val="00EA78A6"/>
    <w:rsid w:val="00ED3E5A"/>
    <w:rsid w:val="00EE76BD"/>
    <w:rsid w:val="00EF4B81"/>
    <w:rsid w:val="00EF53CF"/>
    <w:rsid w:val="00F07E85"/>
    <w:rsid w:val="00F100AD"/>
    <w:rsid w:val="00F25F84"/>
    <w:rsid w:val="00F26549"/>
    <w:rsid w:val="00F5149E"/>
    <w:rsid w:val="00F661F9"/>
    <w:rsid w:val="00F72BC6"/>
    <w:rsid w:val="00F74D49"/>
    <w:rsid w:val="00F8301A"/>
    <w:rsid w:val="00F97200"/>
    <w:rsid w:val="00FB2B9C"/>
    <w:rsid w:val="00FC3642"/>
    <w:rsid w:val="00FD2E01"/>
    <w:rsid w:val="00FF3529"/>
    <w:rsid w:val="015121A7"/>
    <w:rsid w:val="025748B4"/>
    <w:rsid w:val="040B2908"/>
    <w:rsid w:val="05837358"/>
    <w:rsid w:val="066C5DAC"/>
    <w:rsid w:val="0722700A"/>
    <w:rsid w:val="07CA2C78"/>
    <w:rsid w:val="07DD7372"/>
    <w:rsid w:val="07EA44D7"/>
    <w:rsid w:val="083A7EA8"/>
    <w:rsid w:val="08C91CD7"/>
    <w:rsid w:val="08E76440"/>
    <w:rsid w:val="092D2AB3"/>
    <w:rsid w:val="09BA73C6"/>
    <w:rsid w:val="0A430851"/>
    <w:rsid w:val="0AA93B45"/>
    <w:rsid w:val="0ACC1AE2"/>
    <w:rsid w:val="0B435618"/>
    <w:rsid w:val="0B5360EA"/>
    <w:rsid w:val="0C527772"/>
    <w:rsid w:val="0C576466"/>
    <w:rsid w:val="0CA672BA"/>
    <w:rsid w:val="0D1E0936"/>
    <w:rsid w:val="0D8449CC"/>
    <w:rsid w:val="0DF650C9"/>
    <w:rsid w:val="0F26399A"/>
    <w:rsid w:val="0F61537E"/>
    <w:rsid w:val="0FA25AF6"/>
    <w:rsid w:val="0FD269DF"/>
    <w:rsid w:val="10851331"/>
    <w:rsid w:val="10A572FB"/>
    <w:rsid w:val="10B86080"/>
    <w:rsid w:val="10BA701D"/>
    <w:rsid w:val="113454FB"/>
    <w:rsid w:val="114744AD"/>
    <w:rsid w:val="114F2D30"/>
    <w:rsid w:val="12306264"/>
    <w:rsid w:val="129A5AAD"/>
    <w:rsid w:val="1362689D"/>
    <w:rsid w:val="14EE06E6"/>
    <w:rsid w:val="14EF4275"/>
    <w:rsid w:val="15F370C3"/>
    <w:rsid w:val="1608780D"/>
    <w:rsid w:val="160A1B5E"/>
    <w:rsid w:val="172149CC"/>
    <w:rsid w:val="17460EE3"/>
    <w:rsid w:val="17B9B505"/>
    <w:rsid w:val="17C2739F"/>
    <w:rsid w:val="18386E60"/>
    <w:rsid w:val="184E1F0C"/>
    <w:rsid w:val="18CA75FE"/>
    <w:rsid w:val="191C334A"/>
    <w:rsid w:val="19460CE0"/>
    <w:rsid w:val="1AA00482"/>
    <w:rsid w:val="1ABC3C79"/>
    <w:rsid w:val="1B5B5B18"/>
    <w:rsid w:val="1C030936"/>
    <w:rsid w:val="1C506F6F"/>
    <w:rsid w:val="1D303241"/>
    <w:rsid w:val="1E7369BB"/>
    <w:rsid w:val="1F366CA9"/>
    <w:rsid w:val="20AE6AB2"/>
    <w:rsid w:val="20EC0D7C"/>
    <w:rsid w:val="21804100"/>
    <w:rsid w:val="223055B2"/>
    <w:rsid w:val="224225E5"/>
    <w:rsid w:val="228F562B"/>
    <w:rsid w:val="23146690"/>
    <w:rsid w:val="23224AE3"/>
    <w:rsid w:val="241F384A"/>
    <w:rsid w:val="243A1D9C"/>
    <w:rsid w:val="24584B75"/>
    <w:rsid w:val="247B3F59"/>
    <w:rsid w:val="24AF77B9"/>
    <w:rsid w:val="25BE1C80"/>
    <w:rsid w:val="26A3761A"/>
    <w:rsid w:val="26BA543F"/>
    <w:rsid w:val="27022D02"/>
    <w:rsid w:val="27832FFC"/>
    <w:rsid w:val="27F6680D"/>
    <w:rsid w:val="289F4739"/>
    <w:rsid w:val="2905141E"/>
    <w:rsid w:val="29153097"/>
    <w:rsid w:val="29421A15"/>
    <w:rsid w:val="29CD0424"/>
    <w:rsid w:val="2A23099A"/>
    <w:rsid w:val="2A3707C8"/>
    <w:rsid w:val="2B937FFC"/>
    <w:rsid w:val="2BD04AB6"/>
    <w:rsid w:val="2CA71D5E"/>
    <w:rsid w:val="2E1B2474"/>
    <w:rsid w:val="2E681E16"/>
    <w:rsid w:val="2F573B7C"/>
    <w:rsid w:val="2F8567D6"/>
    <w:rsid w:val="2FCC5CEF"/>
    <w:rsid w:val="30673564"/>
    <w:rsid w:val="30D85D33"/>
    <w:rsid w:val="30F532D4"/>
    <w:rsid w:val="30FE0F8E"/>
    <w:rsid w:val="316B5C6E"/>
    <w:rsid w:val="318372DA"/>
    <w:rsid w:val="318A2460"/>
    <w:rsid w:val="3231504C"/>
    <w:rsid w:val="32623E41"/>
    <w:rsid w:val="32DC637C"/>
    <w:rsid w:val="342E6AAB"/>
    <w:rsid w:val="34A64A1B"/>
    <w:rsid w:val="34C95646"/>
    <w:rsid w:val="3597171B"/>
    <w:rsid w:val="35B3492D"/>
    <w:rsid w:val="365708EE"/>
    <w:rsid w:val="367508D7"/>
    <w:rsid w:val="37BB2973"/>
    <w:rsid w:val="37C86AC9"/>
    <w:rsid w:val="37CA00BF"/>
    <w:rsid w:val="37D512D0"/>
    <w:rsid w:val="38F05560"/>
    <w:rsid w:val="39405F39"/>
    <w:rsid w:val="3A251832"/>
    <w:rsid w:val="3AAB41ED"/>
    <w:rsid w:val="3AB6003C"/>
    <w:rsid w:val="3B9741BB"/>
    <w:rsid w:val="3CA95481"/>
    <w:rsid w:val="3DF25826"/>
    <w:rsid w:val="3DFB21D5"/>
    <w:rsid w:val="3E915CD0"/>
    <w:rsid w:val="3EE038B6"/>
    <w:rsid w:val="3FA465B9"/>
    <w:rsid w:val="3FFB571C"/>
    <w:rsid w:val="404359A5"/>
    <w:rsid w:val="40621095"/>
    <w:rsid w:val="40AB38A5"/>
    <w:rsid w:val="410C1392"/>
    <w:rsid w:val="418836F4"/>
    <w:rsid w:val="43BA072D"/>
    <w:rsid w:val="441A4B06"/>
    <w:rsid w:val="455B50DE"/>
    <w:rsid w:val="45A83740"/>
    <w:rsid w:val="46D27786"/>
    <w:rsid w:val="480E7EAC"/>
    <w:rsid w:val="485B1C35"/>
    <w:rsid w:val="494578CA"/>
    <w:rsid w:val="49B332B1"/>
    <w:rsid w:val="4A9F479A"/>
    <w:rsid w:val="4ADB6E6B"/>
    <w:rsid w:val="4AFA520F"/>
    <w:rsid w:val="4B002E05"/>
    <w:rsid w:val="4C0F4F8A"/>
    <w:rsid w:val="4C721960"/>
    <w:rsid w:val="4CEC04C5"/>
    <w:rsid w:val="4DA970B2"/>
    <w:rsid w:val="4DE36393"/>
    <w:rsid w:val="4F1824C0"/>
    <w:rsid w:val="4FA10D2D"/>
    <w:rsid w:val="4FCB3827"/>
    <w:rsid w:val="50420C4E"/>
    <w:rsid w:val="514461DE"/>
    <w:rsid w:val="522D05F0"/>
    <w:rsid w:val="52DC2ADF"/>
    <w:rsid w:val="52DC4621"/>
    <w:rsid w:val="538A7093"/>
    <w:rsid w:val="53AC59FB"/>
    <w:rsid w:val="53CD22E1"/>
    <w:rsid w:val="5483498F"/>
    <w:rsid w:val="54E70157"/>
    <w:rsid w:val="55AE4DBC"/>
    <w:rsid w:val="563061C4"/>
    <w:rsid w:val="56D519C0"/>
    <w:rsid w:val="56EA7A59"/>
    <w:rsid w:val="57F96FEA"/>
    <w:rsid w:val="5834503F"/>
    <w:rsid w:val="58E40DC6"/>
    <w:rsid w:val="59633ABF"/>
    <w:rsid w:val="5A3460F2"/>
    <w:rsid w:val="5A505458"/>
    <w:rsid w:val="5B131468"/>
    <w:rsid w:val="5B2818FF"/>
    <w:rsid w:val="5C537F09"/>
    <w:rsid w:val="5C813C19"/>
    <w:rsid w:val="5D7C6762"/>
    <w:rsid w:val="5DD07FF5"/>
    <w:rsid w:val="5DE21359"/>
    <w:rsid w:val="5E0673C2"/>
    <w:rsid w:val="5F9B50CF"/>
    <w:rsid w:val="5FD03A95"/>
    <w:rsid w:val="607D4D71"/>
    <w:rsid w:val="61334FD6"/>
    <w:rsid w:val="61A80D72"/>
    <w:rsid w:val="625F689C"/>
    <w:rsid w:val="6298360A"/>
    <w:rsid w:val="62F70FAC"/>
    <w:rsid w:val="640544A8"/>
    <w:rsid w:val="640E399E"/>
    <w:rsid w:val="645F7296"/>
    <w:rsid w:val="646642CA"/>
    <w:rsid w:val="64A6416A"/>
    <w:rsid w:val="64ED5626"/>
    <w:rsid w:val="65627369"/>
    <w:rsid w:val="65A253CE"/>
    <w:rsid w:val="666F5341"/>
    <w:rsid w:val="66DE7249"/>
    <w:rsid w:val="672E3660"/>
    <w:rsid w:val="67C55FFA"/>
    <w:rsid w:val="67FCD093"/>
    <w:rsid w:val="684D4E8E"/>
    <w:rsid w:val="6AC91050"/>
    <w:rsid w:val="6B2EDA66"/>
    <w:rsid w:val="6B87697A"/>
    <w:rsid w:val="6C20132D"/>
    <w:rsid w:val="6D50338F"/>
    <w:rsid w:val="6D8C35C7"/>
    <w:rsid w:val="6DDD0AD4"/>
    <w:rsid w:val="6E565215"/>
    <w:rsid w:val="6EF275A1"/>
    <w:rsid w:val="6F416438"/>
    <w:rsid w:val="6F453019"/>
    <w:rsid w:val="6FE14BD9"/>
    <w:rsid w:val="70305075"/>
    <w:rsid w:val="70500265"/>
    <w:rsid w:val="70D35520"/>
    <w:rsid w:val="71B11CF3"/>
    <w:rsid w:val="72023B0B"/>
    <w:rsid w:val="72324521"/>
    <w:rsid w:val="72924AA6"/>
    <w:rsid w:val="73665F22"/>
    <w:rsid w:val="73ED2EBE"/>
    <w:rsid w:val="75447E7B"/>
    <w:rsid w:val="755272B2"/>
    <w:rsid w:val="763F5EAD"/>
    <w:rsid w:val="76910718"/>
    <w:rsid w:val="769D056B"/>
    <w:rsid w:val="76A84057"/>
    <w:rsid w:val="77AD35FE"/>
    <w:rsid w:val="77B6211F"/>
    <w:rsid w:val="7811429B"/>
    <w:rsid w:val="7A532452"/>
    <w:rsid w:val="7A93517B"/>
    <w:rsid w:val="7A9E37AF"/>
    <w:rsid w:val="7AFB141C"/>
    <w:rsid w:val="7B9851BE"/>
    <w:rsid w:val="7BAD38DD"/>
    <w:rsid w:val="7C673F2C"/>
    <w:rsid w:val="7D1459C1"/>
    <w:rsid w:val="7D700E1F"/>
    <w:rsid w:val="7DFD5204"/>
    <w:rsid w:val="7E37CB3D"/>
    <w:rsid w:val="7EAD4801"/>
    <w:rsid w:val="7EB3400B"/>
    <w:rsid w:val="7EB729B4"/>
    <w:rsid w:val="7EC63350"/>
    <w:rsid w:val="7F9E3966"/>
    <w:rsid w:val="7FA8499B"/>
    <w:rsid w:val="7FCFC40F"/>
    <w:rsid w:val="97FF8739"/>
    <w:rsid w:val="BFFF8AE4"/>
    <w:rsid w:val="CAF9141E"/>
    <w:rsid w:val="D4FBECBE"/>
    <w:rsid w:val="DBF9E8CA"/>
    <w:rsid w:val="DEBFABD0"/>
    <w:rsid w:val="DF27D51B"/>
    <w:rsid w:val="FFDD43B1"/>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b/>
      <w:bCs/>
      <w:kern w:val="44"/>
      <w:sz w:val="44"/>
      <w:szCs w:val="44"/>
    </w:rPr>
  </w:style>
  <w:style w:type="paragraph" w:styleId="5">
    <w:name w:val="heading 2"/>
    <w:basedOn w:val="1"/>
    <w:next w:val="1"/>
    <w:qFormat/>
    <w:uiPriority w:val="0"/>
    <w:pPr>
      <w:keepNext/>
      <w:keepLines/>
      <w:adjustRightInd w:val="0"/>
      <w:spacing w:before="100" w:after="100" w:line="600" w:lineRule="exact"/>
      <w:textAlignment w:val="baseline"/>
      <w:outlineLvl w:val="1"/>
    </w:pPr>
    <w:rPr>
      <w:rFonts w:eastAsia="黑体"/>
      <w:kern w:val="0"/>
      <w:sz w:val="32"/>
      <w:szCs w:val="20"/>
    </w:rPr>
  </w:style>
  <w:style w:type="paragraph" w:styleId="6">
    <w:name w:val="heading 3"/>
    <w:basedOn w:val="1"/>
    <w:next w:val="1"/>
    <w:qFormat/>
    <w:uiPriority w:val="0"/>
    <w:pPr>
      <w:keepNext/>
      <w:keepLines/>
      <w:spacing w:before="260" w:after="260" w:line="416" w:lineRule="auto"/>
      <w:outlineLvl w:val="2"/>
    </w:pPr>
    <w:rPr>
      <w:b/>
      <w:bCs/>
      <w:sz w:val="32"/>
      <w:szCs w:val="32"/>
    </w:rPr>
  </w:style>
  <w:style w:type="paragraph" w:styleId="7">
    <w:name w:val="heading 4"/>
    <w:basedOn w:val="1"/>
    <w:next w:val="1"/>
    <w:qFormat/>
    <w:uiPriority w:val="0"/>
    <w:pPr>
      <w:keepNext/>
      <w:keepLines/>
      <w:tabs>
        <w:tab w:val="left" w:pos="864"/>
      </w:tabs>
      <w:spacing w:before="280" w:after="290" w:line="372" w:lineRule="auto"/>
      <w:ind w:left="864" w:hanging="864"/>
      <w:outlineLvl w:val="3"/>
    </w:pPr>
    <w:rPr>
      <w:rFonts w:ascii="Arial" w:hAnsi="Arial" w:eastAsia="黑体"/>
      <w:b/>
      <w:bCs/>
      <w:sz w:val="28"/>
      <w:szCs w:val="28"/>
    </w:rPr>
  </w:style>
  <w:style w:type="paragraph" w:styleId="8">
    <w:name w:val="heading 5"/>
    <w:basedOn w:val="1"/>
    <w:next w:val="1"/>
    <w:qFormat/>
    <w:uiPriority w:val="0"/>
    <w:pPr>
      <w:keepNext/>
      <w:keepLines/>
      <w:tabs>
        <w:tab w:val="left" w:pos="1008"/>
      </w:tabs>
      <w:adjustRightInd w:val="0"/>
      <w:spacing w:before="280" w:after="290" w:line="376" w:lineRule="atLeast"/>
      <w:ind w:left="1008" w:hanging="1008"/>
      <w:textAlignment w:val="baseline"/>
      <w:outlineLvl w:val="4"/>
    </w:pPr>
    <w:rPr>
      <w:b/>
      <w:bCs/>
      <w:kern w:val="0"/>
      <w:sz w:val="28"/>
      <w:szCs w:val="28"/>
    </w:rPr>
  </w:style>
  <w:style w:type="paragraph" w:styleId="9">
    <w:name w:val="heading 6"/>
    <w:basedOn w:val="1"/>
    <w:next w:val="1"/>
    <w:qFormat/>
    <w:uiPriority w:val="0"/>
    <w:pPr>
      <w:keepNext/>
      <w:keepLines/>
      <w:tabs>
        <w:tab w:val="left" w:pos="1152"/>
        <w:tab w:val="left" w:pos="2160"/>
      </w:tabs>
      <w:adjustRightInd w:val="0"/>
      <w:spacing w:before="240" w:after="64" w:line="320" w:lineRule="atLeast"/>
      <w:ind w:left="1152" w:hanging="1152"/>
      <w:textAlignment w:val="baseline"/>
      <w:outlineLvl w:val="5"/>
    </w:pPr>
    <w:rPr>
      <w:rFonts w:ascii="Arial" w:hAnsi="Arial" w:eastAsia="黑体"/>
      <w:b/>
      <w:bCs/>
      <w:kern w:val="0"/>
      <w:sz w:val="24"/>
    </w:rPr>
  </w:style>
  <w:style w:type="paragraph" w:styleId="10">
    <w:name w:val="heading 7"/>
    <w:basedOn w:val="1"/>
    <w:next w:val="1"/>
    <w:qFormat/>
    <w:uiPriority w:val="0"/>
    <w:pPr>
      <w:keepNext/>
      <w:keepLines/>
      <w:tabs>
        <w:tab w:val="left" w:pos="1296"/>
      </w:tabs>
      <w:adjustRightInd w:val="0"/>
      <w:spacing w:before="240" w:after="64" w:line="320" w:lineRule="atLeast"/>
      <w:ind w:left="1296" w:hanging="1296"/>
      <w:textAlignment w:val="baseline"/>
      <w:outlineLvl w:val="6"/>
    </w:pPr>
    <w:rPr>
      <w:b/>
      <w:bCs/>
      <w:kern w:val="0"/>
      <w:sz w:val="24"/>
    </w:rPr>
  </w:style>
  <w:style w:type="paragraph" w:styleId="11">
    <w:name w:val="heading 8"/>
    <w:basedOn w:val="1"/>
    <w:next w:val="1"/>
    <w:qFormat/>
    <w:uiPriority w:val="0"/>
    <w:pPr>
      <w:keepNext/>
      <w:keepLines/>
      <w:tabs>
        <w:tab w:val="left" w:pos="1440"/>
      </w:tabs>
      <w:adjustRightInd w:val="0"/>
      <w:spacing w:before="240" w:after="64" w:line="320" w:lineRule="atLeast"/>
      <w:ind w:left="1440" w:hanging="1440"/>
      <w:textAlignment w:val="baseline"/>
      <w:outlineLvl w:val="7"/>
    </w:pPr>
    <w:rPr>
      <w:rFonts w:ascii="Arial" w:hAnsi="Arial" w:eastAsia="黑体"/>
      <w:kern w:val="0"/>
      <w:sz w:val="24"/>
    </w:rPr>
  </w:style>
  <w:style w:type="paragraph" w:styleId="12">
    <w:name w:val="heading 9"/>
    <w:basedOn w:val="1"/>
    <w:next w:val="1"/>
    <w:qFormat/>
    <w:uiPriority w:val="0"/>
    <w:pPr>
      <w:keepNext/>
      <w:keepLines/>
      <w:tabs>
        <w:tab w:val="left" w:pos="1584"/>
      </w:tabs>
      <w:adjustRightInd w:val="0"/>
      <w:spacing w:before="240" w:after="64" w:line="320" w:lineRule="atLeast"/>
      <w:ind w:left="1584" w:hanging="1584"/>
      <w:textAlignment w:val="baseline"/>
      <w:outlineLvl w:val="8"/>
    </w:pPr>
    <w:rPr>
      <w:rFonts w:ascii="Arial" w:hAnsi="Arial" w:eastAsia="黑体"/>
      <w:kern w:val="0"/>
      <w:szCs w:val="21"/>
    </w:rPr>
  </w:style>
  <w:style w:type="character" w:default="1" w:styleId="26">
    <w:name w:val="Default Paragraph Font"/>
    <w:semiHidden/>
    <w:qFormat/>
    <w:uiPriority w:val="0"/>
  </w:style>
  <w:style w:type="table" w:default="1" w:styleId="24">
    <w:name w:val="Normal Table"/>
    <w:semiHidden/>
    <w:qFormat/>
    <w:uiPriority w:val="0"/>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10"/>
    <w:pPr>
      <w:snapToGrid w:val="0"/>
      <w:spacing w:line="240" w:lineRule="atLeast"/>
      <w:ind w:right="241" w:firstLine="964"/>
      <w:jc w:val="center"/>
    </w:pPr>
    <w:rPr>
      <w:rFonts w:ascii="黑体" w:hAnsi="黑体" w:eastAsia="黑体"/>
      <w:b/>
      <w:sz w:val="48"/>
      <w:szCs w:val="48"/>
    </w:rPr>
  </w:style>
  <w:style w:type="paragraph" w:styleId="13">
    <w:name w:val="Normal Indent"/>
    <w:basedOn w:val="1"/>
    <w:qFormat/>
    <w:uiPriority w:val="0"/>
    <w:pPr>
      <w:ind w:firstLine="420" w:firstLineChars="200"/>
    </w:pPr>
    <w:rPr>
      <w:rFonts w:ascii="Calibri" w:hAnsi="Calibri" w:eastAsia="宋体" w:cs="Times New Roman"/>
      <w:szCs w:val="24"/>
    </w:rPr>
  </w:style>
  <w:style w:type="paragraph" w:styleId="14">
    <w:name w:val="annotation text"/>
    <w:basedOn w:val="1"/>
    <w:link w:val="32"/>
    <w:semiHidden/>
    <w:qFormat/>
    <w:uiPriority w:val="0"/>
    <w:pPr>
      <w:jc w:val="left"/>
    </w:pPr>
  </w:style>
  <w:style w:type="paragraph" w:styleId="15">
    <w:name w:val="Body Text Indent"/>
    <w:basedOn w:val="1"/>
    <w:qFormat/>
    <w:uiPriority w:val="0"/>
    <w:pPr>
      <w:spacing w:after="120"/>
      <w:ind w:left="420" w:leftChars="200"/>
    </w:pPr>
  </w:style>
  <w:style w:type="paragraph" w:styleId="16">
    <w:name w:val="Plain Text"/>
    <w:basedOn w:val="1"/>
    <w:qFormat/>
    <w:uiPriority w:val="0"/>
    <w:rPr>
      <w:rFonts w:ascii="宋体" w:hAnsi="Courier New"/>
      <w:szCs w:val="20"/>
    </w:rPr>
  </w:style>
  <w:style w:type="paragraph" w:styleId="17">
    <w:name w:val="Balloon Text"/>
    <w:basedOn w:val="1"/>
    <w:semiHidden/>
    <w:qFormat/>
    <w:uiPriority w:val="0"/>
    <w:rPr>
      <w:sz w:val="18"/>
      <w:szCs w:val="18"/>
    </w:rPr>
  </w:style>
  <w:style w:type="paragraph" w:styleId="18">
    <w:name w:val="footer"/>
    <w:basedOn w:val="1"/>
    <w:qFormat/>
    <w:uiPriority w:val="0"/>
    <w:pPr>
      <w:tabs>
        <w:tab w:val="center" w:pos="4153"/>
        <w:tab w:val="right" w:pos="8306"/>
      </w:tabs>
      <w:snapToGrid w:val="0"/>
      <w:ind w:right="210" w:rightChars="100"/>
      <w:jc w:val="right"/>
    </w:pPr>
    <w:rPr>
      <w:sz w:val="18"/>
      <w:szCs w:val="18"/>
    </w:rPr>
  </w:style>
  <w:style w:type="paragraph" w:styleId="19">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0">
    <w:name w:val="toc 1"/>
    <w:basedOn w:val="1"/>
    <w:next w:val="1"/>
    <w:qFormat/>
    <w:uiPriority w:val="39"/>
  </w:style>
  <w:style w:type="paragraph" w:styleId="21">
    <w:name w:val="Normal (Web)"/>
    <w:basedOn w:val="1"/>
    <w:unhideWhenUsed/>
    <w:qFormat/>
    <w:uiPriority w:val="99"/>
    <w:pPr>
      <w:spacing w:before="100" w:beforeAutospacing="1" w:after="100" w:afterAutospacing="1"/>
    </w:pPr>
    <w:rPr>
      <w:rFonts w:ascii="宋体" w:hAnsi="宋体" w:cs="宋体"/>
    </w:rPr>
  </w:style>
  <w:style w:type="paragraph" w:styleId="22">
    <w:name w:val="annotation subject"/>
    <w:basedOn w:val="14"/>
    <w:next w:val="14"/>
    <w:link w:val="33"/>
    <w:qFormat/>
    <w:uiPriority w:val="0"/>
    <w:rPr>
      <w:b/>
      <w:bCs/>
    </w:rPr>
  </w:style>
  <w:style w:type="paragraph" w:styleId="23">
    <w:name w:val="Body Text First Indent 2"/>
    <w:basedOn w:val="15"/>
    <w:qFormat/>
    <w:uiPriority w:val="0"/>
    <w:pPr>
      <w:widowControl w:val="0"/>
      <w:ind w:firstLine="420" w:firstLineChars="200"/>
      <w:jc w:val="both"/>
    </w:pPr>
    <w:rPr>
      <w:kern w:val="2"/>
      <w:sz w:val="21"/>
      <w:szCs w:val="20"/>
    </w:rPr>
  </w:style>
  <w:style w:type="table" w:styleId="25">
    <w:name w:val="Table Grid"/>
    <w:basedOn w:val="24"/>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0"/>
    <w:rPr>
      <w:b/>
      <w:bCs/>
    </w:rPr>
  </w:style>
  <w:style w:type="character" w:styleId="28">
    <w:name w:val="page number"/>
    <w:qFormat/>
    <w:uiPriority w:val="0"/>
    <w:rPr>
      <w:rFonts w:ascii="Times New Roman" w:hAnsi="Times New Roman" w:eastAsia="宋体"/>
      <w:sz w:val="18"/>
    </w:rPr>
  </w:style>
  <w:style w:type="character" w:styleId="29">
    <w:name w:val="Hyperlink"/>
    <w:qFormat/>
    <w:uiPriority w:val="99"/>
    <w:rPr>
      <w:rFonts w:hint="default" w:ascii="Arial" w:hAnsi="Arial" w:cs="Arial"/>
      <w:color w:val="0000AA"/>
      <w:u w:val="single"/>
    </w:rPr>
  </w:style>
  <w:style w:type="character" w:styleId="30">
    <w:name w:val="annotation reference"/>
    <w:semiHidden/>
    <w:qFormat/>
    <w:uiPriority w:val="0"/>
    <w:rPr>
      <w:sz w:val="21"/>
      <w:szCs w:val="21"/>
    </w:rPr>
  </w:style>
  <w:style w:type="paragraph" w:customStyle="1" w:styleId="31">
    <w:name w:val="表格文字"/>
    <w:basedOn w:val="1"/>
    <w:qFormat/>
    <w:uiPriority w:val="0"/>
    <w:pPr>
      <w:spacing w:before="25" w:after="25"/>
    </w:pPr>
    <w:rPr>
      <w:bCs/>
      <w:spacing w:val="10"/>
      <w:sz w:val="24"/>
    </w:rPr>
  </w:style>
  <w:style w:type="character" w:customStyle="1" w:styleId="32">
    <w:name w:val="批注文字 Char"/>
    <w:link w:val="14"/>
    <w:semiHidden/>
    <w:qFormat/>
    <w:uiPriority w:val="0"/>
    <w:rPr>
      <w:kern w:val="2"/>
      <w:sz w:val="21"/>
      <w:szCs w:val="24"/>
    </w:rPr>
  </w:style>
  <w:style w:type="character" w:customStyle="1" w:styleId="33">
    <w:name w:val="批注主题 Char"/>
    <w:link w:val="22"/>
    <w:qFormat/>
    <w:uiPriority w:val="0"/>
    <w:rPr>
      <w:b/>
      <w:bCs/>
      <w:kern w:val="2"/>
      <w:sz w:val="21"/>
      <w:szCs w:val="24"/>
    </w:rPr>
  </w:style>
  <w:style w:type="character" w:customStyle="1" w:styleId="34">
    <w:name w:val="font11"/>
    <w:basedOn w:val="26"/>
    <w:qFormat/>
    <w:uiPriority w:val="0"/>
    <w:rPr>
      <w:rFonts w:hint="eastAsia" w:ascii="宋体" w:hAnsi="宋体" w:eastAsia="宋体" w:cs="宋体"/>
      <w:color w:val="000000"/>
      <w:sz w:val="22"/>
      <w:szCs w:val="22"/>
      <w:u w:val="none"/>
    </w:rPr>
  </w:style>
  <w:style w:type="character" w:customStyle="1" w:styleId="35">
    <w:name w:val="font31"/>
    <w:qFormat/>
    <w:uiPriority w:val="0"/>
    <w:rPr>
      <w:rFonts w:hint="eastAsia" w:ascii="微软雅黑" w:hAnsi="微软雅黑" w:eastAsia="微软雅黑" w:cs="微软雅黑"/>
      <w:color w:val="000000"/>
      <w:sz w:val="21"/>
      <w:szCs w:val="21"/>
      <w:u w:val="none"/>
    </w:rPr>
  </w:style>
  <w:style w:type="character" w:customStyle="1" w:styleId="36">
    <w:name w:val="font01"/>
    <w:qFormat/>
    <w:uiPriority w:val="0"/>
    <w:rPr>
      <w:rFonts w:hint="eastAsia" w:ascii="微软雅黑" w:hAnsi="微软雅黑" w:eastAsia="微软雅黑" w:cs="微软雅黑"/>
      <w:color w:val="FF0000"/>
      <w:sz w:val="18"/>
      <w:szCs w:val="18"/>
      <w:u w:val="none"/>
    </w:rPr>
  </w:style>
  <w:style w:type="character" w:customStyle="1" w:styleId="37">
    <w:name w:val="font21"/>
    <w:basedOn w:val="26"/>
    <w:qFormat/>
    <w:uiPriority w:val="0"/>
    <w:rPr>
      <w:rFonts w:hint="default" w:ascii="Times New Roman" w:hAnsi="Times New Roman" w:cs="Times New Roman"/>
      <w:color w:val="000000"/>
      <w:sz w:val="18"/>
      <w:szCs w:val="18"/>
      <w:u w:val="none"/>
    </w:rPr>
  </w:style>
  <w:style w:type="paragraph" w:customStyle="1" w:styleId="38">
    <w:name w:val="标准书眉一"/>
    <w:qFormat/>
    <w:uiPriority w:val="0"/>
    <w:pPr>
      <w:jc w:val="both"/>
    </w:pPr>
    <w:rPr>
      <w:rFonts w:ascii="Times New Roman" w:hAnsi="Times New Roman" w:eastAsia="宋体" w:cs="Times New Roman"/>
      <w:lang w:val="en-US" w:eastAsia="zh-CN" w:bidi="ar-SA"/>
    </w:rPr>
  </w:style>
  <w:style w:type="paragraph" w:customStyle="1" w:styleId="39">
    <w:name w:val="一级条标题"/>
    <w:basedOn w:val="40"/>
    <w:next w:val="1"/>
    <w:qFormat/>
    <w:uiPriority w:val="0"/>
    <w:pPr>
      <w:numPr>
        <w:ilvl w:val="2"/>
        <w:numId w:val="1"/>
      </w:numPr>
      <w:tabs>
        <w:tab w:val="left" w:pos="360"/>
      </w:tabs>
      <w:spacing w:before="0" w:beforeLines="0" w:after="0" w:afterLines="0"/>
      <w:outlineLvl w:val="2"/>
    </w:pPr>
  </w:style>
  <w:style w:type="paragraph" w:customStyle="1" w:styleId="40">
    <w:name w:val="章标题"/>
    <w:next w:val="1"/>
    <w:qFormat/>
    <w:uiPriority w:val="0"/>
    <w:pPr>
      <w:numPr>
        <w:ilvl w:val="1"/>
        <w:numId w:val="1"/>
      </w:numPr>
      <w:tabs>
        <w:tab w:val="left" w:pos="360"/>
      </w:tabs>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41">
    <w:name w:val="二级条标题"/>
    <w:basedOn w:val="39"/>
    <w:next w:val="1"/>
    <w:qFormat/>
    <w:uiPriority w:val="0"/>
    <w:pPr>
      <w:numPr>
        <w:ilvl w:val="3"/>
        <w:numId w:val="1"/>
      </w:numPr>
      <w:outlineLvl w:val="3"/>
    </w:pPr>
  </w:style>
  <w:style w:type="paragraph" w:customStyle="1" w:styleId="4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43">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44">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45">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46">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47">
    <w:name w:val="数字编号列项（二级）"/>
    <w:qFormat/>
    <w:uiPriority w:val="0"/>
    <w:pPr>
      <w:numPr>
        <w:ilvl w:val="5"/>
        <w:numId w:val="1"/>
      </w:numPr>
      <w:ind w:left="1260" w:leftChars="400" w:hanging="420" w:hangingChars="200"/>
      <w:jc w:val="both"/>
    </w:pPr>
    <w:rPr>
      <w:rFonts w:ascii="宋体" w:hAnsi="Times New Roman" w:eastAsia="宋体" w:cs="Times New Roman"/>
      <w:sz w:val="21"/>
      <w:lang w:val="en-US" w:eastAsia="zh-CN" w:bidi="ar-SA"/>
    </w:rPr>
  </w:style>
  <w:style w:type="paragraph" w:customStyle="1" w:styleId="48">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4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50">
    <w:name w:val="封面正文"/>
    <w:qFormat/>
    <w:uiPriority w:val="0"/>
    <w:pPr>
      <w:jc w:val="both"/>
    </w:pPr>
    <w:rPr>
      <w:rFonts w:ascii="Times New Roman" w:hAnsi="Times New Roman" w:eastAsia="宋体" w:cs="Times New Roman"/>
      <w:lang w:val="en-US" w:eastAsia="zh-CN" w:bidi="ar-SA"/>
    </w:rPr>
  </w:style>
  <w:style w:type="paragraph" w:customStyle="1" w:styleId="51">
    <w:name w:val="实施日期"/>
    <w:basedOn w:val="52"/>
    <w:qFormat/>
    <w:uiPriority w:val="0"/>
    <w:pPr>
      <w:framePr w:hSpace="0" w:xAlign="right"/>
      <w:jc w:val="right"/>
    </w:pPr>
  </w:style>
  <w:style w:type="paragraph" w:customStyle="1" w:styleId="52">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53">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54">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55">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56">
    <w:name w:val="图表脚注"/>
    <w:next w:val="1"/>
    <w:qFormat/>
    <w:uiPriority w:val="0"/>
    <w:pPr>
      <w:numPr>
        <w:ilvl w:val="6"/>
        <w:numId w:val="1"/>
      </w:numPr>
      <w:ind w:left="300" w:leftChars="200" w:hanging="100" w:hangingChars="100"/>
      <w:jc w:val="both"/>
    </w:pPr>
    <w:rPr>
      <w:rFonts w:ascii="宋体" w:hAnsi="Times New Roman" w:eastAsia="宋体" w:cs="Times New Roman"/>
      <w:sz w:val="18"/>
      <w:lang w:val="en-US" w:eastAsia="zh-CN" w:bidi="ar-SA"/>
    </w:rPr>
  </w:style>
  <w:style w:type="paragraph" w:customStyle="1" w:styleId="5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58">
    <w:name w:val="前言、引言标题"/>
    <w:next w:val="1"/>
    <w:qFormat/>
    <w:uiPriority w:val="0"/>
    <w:pPr>
      <w:numPr>
        <w:ilvl w:val="0"/>
        <w:numId w:val="1"/>
      </w:numPr>
      <w:shd w:val="clear" w:color="FFFFFF" w:fill="FFFFFF"/>
      <w:tabs>
        <w:tab w:val="left" w:pos="360"/>
      </w:tabs>
      <w:spacing w:before="640" w:after="560"/>
      <w:jc w:val="center"/>
      <w:outlineLvl w:val="0"/>
    </w:pPr>
    <w:rPr>
      <w:rFonts w:ascii="黑体" w:hAnsi="Times New Roman" w:eastAsia="黑体" w:cs="Times New Roman"/>
      <w:sz w:val="32"/>
      <w:lang w:val="en-US" w:eastAsia="zh-CN" w:bidi="ar-SA"/>
    </w:rPr>
  </w:style>
  <w:style w:type="paragraph" w:customStyle="1" w:styleId="59">
    <w:name w:val="zi"/>
    <w:basedOn w:val="1"/>
    <w:qFormat/>
    <w:uiPriority w:val="0"/>
    <w:pPr>
      <w:widowControl/>
      <w:spacing w:before="100" w:beforeAutospacing="1" w:after="100" w:afterAutospacing="1" w:line="336" w:lineRule="atLeast"/>
      <w:jc w:val="left"/>
    </w:pPr>
    <w:rPr>
      <w:rFonts w:ascii="ˎ̥" w:hAnsi="ˎ̥" w:cs="宋体"/>
      <w:color w:val="000000"/>
      <w:kern w:val="0"/>
      <w:sz w:val="22"/>
      <w:szCs w:val="22"/>
    </w:rPr>
  </w:style>
  <w:style w:type="paragraph" w:customStyle="1" w:styleId="60">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61">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62">
    <w:name w:val="WPSOffice手动目录 1"/>
    <w:qFormat/>
    <w:uiPriority w:val="0"/>
    <w:pPr>
      <w:ind w:leftChars="0"/>
    </w:pPr>
    <w:rPr>
      <w:rFonts w:ascii="Times New Roman" w:hAnsi="Times New Roman" w:eastAsia="宋体" w:cs="Times New Roman"/>
      <w:sz w:val="20"/>
      <w:szCs w:val="20"/>
    </w:rPr>
  </w:style>
  <w:style w:type="paragraph" w:customStyle="1" w:styleId="63">
    <w:name w:val="其他发布部门"/>
    <w:basedOn w:val="1"/>
    <w:qFormat/>
    <w:uiPriority w:val="0"/>
    <w:pPr>
      <w:framePr w:w="7433" w:h="585" w:hRule="exact" w:hSpace="180" w:vSpace="180" w:wrap="around" w:vAnchor="margin" w:hAnchor="margin" w:xAlign="center" w:y="14401" w:anchorLock="1"/>
      <w:widowControl/>
      <w:numPr>
        <w:ilvl w:val="4"/>
        <w:numId w:val="1"/>
      </w:numPr>
      <w:spacing w:line="0" w:lineRule="atLeast"/>
      <w:jc w:val="center"/>
    </w:pPr>
    <w:rPr>
      <w:rFonts w:ascii="黑体" w:eastAsia="黑体"/>
      <w:spacing w:val="20"/>
      <w:w w:val="135"/>
      <w:kern w:val="0"/>
      <w:sz w:val="36"/>
      <w:szCs w:val="20"/>
    </w:rPr>
  </w:style>
  <w:style w:type="paragraph" w:styleId="64">
    <w:name w:val="List Paragraph"/>
    <w:basedOn w:val="1"/>
    <w:qFormat/>
    <w:uiPriority w:val="34"/>
    <w:pPr>
      <w:numPr>
        <w:ilvl w:val="0"/>
        <w:numId w:val="2"/>
      </w:numPr>
      <w:spacing w:line="360" w:lineRule="auto"/>
      <w:contextualSpacing/>
      <w:jc w:val="left"/>
    </w:pPr>
  </w:style>
  <w:style w:type="paragraph" w:customStyle="1" w:styleId="65">
    <w:name w:val="表正文"/>
    <w:basedOn w:val="1"/>
    <w:qFormat/>
    <w:uiPriority w:val="0"/>
    <w:pPr>
      <w:widowControl w:val="0"/>
    </w:pPr>
    <w:rPr>
      <w:rFonts w:ascii="Arial" w:hAnsi="Arial" w:eastAsia="等线"/>
      <w:kern w:val="2"/>
      <w:szCs w:val="21"/>
    </w:rPr>
  </w:style>
  <w:style w:type="paragraph" w:customStyle="1" w:styleId="66">
    <w:name w:val="样式7"/>
    <w:basedOn w:val="1"/>
    <w:qFormat/>
    <w:uiPriority w:val="0"/>
    <w:pPr>
      <w:spacing w:line="360" w:lineRule="auto"/>
      <w:ind w:firstLine="480"/>
    </w:pPr>
    <w:rPr>
      <w:rFonts w:ascii="宋体" w:hAnsi="宋体"/>
      <w:color w:val="4F81BD"/>
    </w:rPr>
  </w:style>
  <w:style w:type="paragraph" w:customStyle="1" w:styleId="67">
    <w:name w:val="列出段落1"/>
    <w:basedOn w:val="1"/>
    <w:qFormat/>
    <w:uiPriority w:val="0"/>
    <w:pPr>
      <w:adjustRightInd w:val="0"/>
      <w:snapToGrid w:val="0"/>
      <w:spacing w:before="120" w:after="120" w:line="360" w:lineRule="auto"/>
      <w:ind w:left="578" w:firstLine="420" w:firstLineChars="200"/>
    </w:pPr>
    <w:rPr>
      <w:rFonts w:ascii="Times New Roman" w:hAnsi="Times New Roman"/>
      <w:szCs w:val="20"/>
      <w:lang w:eastAsia="zh-TW"/>
    </w:rPr>
  </w:style>
  <w:style w:type="paragraph" w:customStyle="1" w:styleId="68">
    <w:name w:val="样式2"/>
    <w:basedOn w:val="1"/>
    <w:qFormat/>
    <w:uiPriority w:val="0"/>
    <w:pPr>
      <w:numPr>
        <w:ilvl w:val="3"/>
        <w:numId w:val="3"/>
      </w:numPr>
      <w:spacing w:line="360" w:lineRule="auto"/>
    </w:pPr>
    <w:rPr>
      <w:rFonts w:ascii="宋体" w:hAnsi="Times New Roman"/>
      <w:sz w:val="24"/>
      <w:szCs w:val="24"/>
    </w:rPr>
  </w:style>
  <w:style w:type="paragraph" w:customStyle="1" w:styleId="69">
    <w:name w:val="正文文本缩进1"/>
    <w:basedOn w:val="1"/>
    <w:qFormat/>
    <w:uiPriority w:val="0"/>
    <w:pPr>
      <w:widowControl w:val="0"/>
      <w:adjustRightInd w:val="0"/>
      <w:snapToGrid w:val="0"/>
      <w:spacing w:line="300" w:lineRule="auto"/>
      <w:jc w:val="both"/>
    </w:pPr>
    <w:rPr>
      <w:kern w:val="2"/>
      <w:sz w:val="21"/>
      <w:szCs w:val="20"/>
      <w:lang w:eastAsia="zh-TW"/>
    </w:rPr>
  </w:style>
  <w:style w:type="character" w:customStyle="1" w:styleId="70">
    <w:name w:val="font51"/>
    <w:basedOn w:val="26"/>
    <w:qFormat/>
    <w:uiPriority w:val="0"/>
    <w:rPr>
      <w:rFonts w:hint="eastAsia" w:ascii="宋体" w:hAnsi="宋体" w:eastAsia="宋体" w:cs="宋体"/>
      <w:color w:val="000000"/>
      <w:sz w:val="24"/>
      <w:szCs w:val="24"/>
      <w:u w:val="none"/>
    </w:rPr>
  </w:style>
  <w:style w:type="character" w:customStyle="1" w:styleId="71">
    <w:name w:val="font61"/>
    <w:basedOn w:val="26"/>
    <w:qFormat/>
    <w:uiPriority w:val="0"/>
    <w:rPr>
      <w:rFonts w:ascii="方正兰亭黑简体" w:hAnsi="方正兰亭黑简体" w:eastAsia="方正兰亭黑简体" w:cs="方正兰亭黑简体"/>
      <w:color w:val="000000"/>
      <w:sz w:val="24"/>
      <w:szCs w:val="24"/>
      <w:u w:val="none"/>
    </w:rPr>
  </w:style>
  <w:style w:type="paragraph" w:customStyle="1" w:styleId="72">
    <w:name w:val="列表段落1"/>
    <w:basedOn w:val="1"/>
    <w:unhideWhenUsed/>
    <w:qFormat/>
    <w:uiPriority w:val="99"/>
    <w:pPr>
      <w:ind w:firstLine="420"/>
    </w:pPr>
  </w:style>
  <w:style w:type="paragraph" w:customStyle="1" w:styleId="73">
    <w:name w:val="表格并列项"/>
    <w:basedOn w:val="1"/>
    <w:qFormat/>
    <w:uiPriority w:val="0"/>
    <w:pPr>
      <w:snapToGrid w:val="0"/>
      <w:spacing w:before="40" w:after="40" w:line="288" w:lineRule="auto"/>
      <w:contextualSpacing/>
      <w:jc w:val="both"/>
    </w:pPr>
    <w:rPr>
      <w:rFonts w:ascii="Times New Roman" w:hAnsi="Times New Roman" w:eastAsia="方正兰亭黑简体" w:cs="Cambria"/>
      <w:sz w:val="21"/>
      <w:szCs w:val="20"/>
    </w:rPr>
  </w:style>
  <w:style w:type="paragraph" w:customStyle="1" w:styleId="74">
    <w:name w:val="首行缩进"/>
    <w:basedOn w:val="1"/>
    <w:qFormat/>
    <w:uiPriority w:val="0"/>
    <w:pPr>
      <w:spacing w:line="300" w:lineRule="auto"/>
      <w:ind w:firstLine="420" w:firstLineChars="200"/>
    </w:pPr>
    <w:rPr>
      <w:rFonts w:ascii="Times New Roman" w:hAnsi="Times New Roman" w:eastAsia="方正书宋简体" w:cs="Times New Roman"/>
      <w:szCs w:val="20"/>
    </w:rPr>
  </w:style>
  <w:style w:type="paragraph" w:customStyle="1" w:styleId="75">
    <w:name w:val="tabletext"/>
    <w:basedOn w:val="1"/>
    <w:qFormat/>
    <w:uiPriority w:val="0"/>
    <w:pPr>
      <w:widowControl/>
      <w:spacing w:before="100" w:beforeAutospacing="1" w:after="100" w:afterAutospacing="1"/>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szpsb</Company>
  <Pages>11</Pages>
  <Words>3883</Words>
  <Characters>4490</Characters>
  <Lines>25</Lines>
  <Paragraphs>7</Paragraphs>
  <TotalTime>0</TotalTime>
  <ScaleCrop>false</ScaleCrop>
  <LinksUpToDate>false</LinksUpToDate>
  <CharactersWithSpaces>4541</CharactersWithSpaces>
  <Application>WPS Office_12.1.2.22550_F1E327BC-269C-435d-A152-05C5408002CA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2019-03-07T02:06:00Z</dcterms:created>
  <dc:creator>李曼</dc:creator>
  <cp:lastModifiedBy>administrator</cp:lastModifiedBy>
  <cp:lastPrinted>2020-08-03T02:54:00Z</cp:lastPrinted>
  <dcterms:modified xsi:type="dcterms:W3CDTF">2026-07-23T16:05:13Z</dcterms:modified>
  <dc:title>二次系统安全防护</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2052-12.1.2.22550</vt:lpwstr>
  </property>
  <property fmtid="{D5CDD505-2E9C-101B-9397-08002B2CF9AE}" pid="3" name="ICV">
    <vt:lpwstr>288D6057A7B60E7988AA556A975700E6_43</vt:lpwstr>
  </property>
  <property fmtid="{D5CDD505-2E9C-101B-9397-08002B2CF9AE}" pid="4" name="KSOTemplateDocerSaveRecord">
    <vt:lpwstr>eyJoZGlkIjoiOWNjZWIzMjExMGMxZGJlYjAwMzYwMTY2NTcxZDM2ODgiLCJ1c2VySWQiOiIzODA0NDY2MjQifQ==</vt:lpwstr>
  </property>
</Properties>
</file>